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2347" w14:textId="34A255CD" w:rsidR="00243EBA" w:rsidRPr="00E4385B" w:rsidRDefault="00147F0C" w:rsidP="001A1B1C">
      <w:pPr>
        <w:pStyle w:val="Titel"/>
        <w:tabs>
          <w:tab w:val="right" w:pos="9072"/>
        </w:tabs>
        <w:spacing w:line="288" w:lineRule="auto"/>
        <w:jc w:val="both"/>
        <w:rPr>
          <w:sz w:val="28"/>
          <w:szCs w:val="28"/>
          <w:lang w:val="fr-CH"/>
        </w:rPr>
      </w:pPr>
      <w:r w:rsidRPr="00E4385B">
        <w:rPr>
          <w:lang w:val="fr-CH"/>
        </w:rPr>
        <w:t xml:space="preserve">Convention </w:t>
      </w:r>
      <w:r w:rsidR="00CF1751">
        <w:rPr>
          <w:lang w:val="fr-CH"/>
        </w:rPr>
        <w:t>sur les</w:t>
      </w:r>
      <w:r w:rsidRPr="00E4385B">
        <w:rPr>
          <w:lang w:val="fr-CH"/>
        </w:rPr>
        <w:t xml:space="preserve"> prestations</w:t>
      </w:r>
      <w:r w:rsidR="00B52C72">
        <w:rPr>
          <w:lang w:val="fr-CH"/>
        </w:rPr>
        <w:t xml:space="preserve"> - modèle</w:t>
      </w:r>
    </w:p>
    <w:p w14:paraId="2C43068D" w14:textId="77777777" w:rsidR="00243EBA" w:rsidRPr="00E4385B" w:rsidRDefault="00243EBA" w:rsidP="00243EBA">
      <w:pPr>
        <w:pStyle w:val="BotschaftLinie"/>
        <w:pBdr>
          <w:top w:val="single" w:sz="6" w:space="0" w:color="auto"/>
        </w:pBdr>
        <w:rPr>
          <w:rFonts w:ascii="Arial" w:hAnsi="Arial" w:cs="Arial"/>
          <w:lang w:val="fr-CH"/>
        </w:rPr>
      </w:pPr>
    </w:p>
    <w:p w14:paraId="225F2C10" w14:textId="77777777" w:rsidR="00E80EEA" w:rsidRPr="00E4385B" w:rsidRDefault="00E80EEA" w:rsidP="00E80EEA">
      <w:pPr>
        <w:rPr>
          <w:lang w:val="fr-CH" w:eastAsia="de-CH"/>
        </w:rPr>
      </w:pPr>
    </w:p>
    <w:p w14:paraId="382A2E51" w14:textId="77777777" w:rsidR="00E80EEA" w:rsidRPr="00E4385B" w:rsidRDefault="00E80EEA" w:rsidP="00E80EEA">
      <w:pPr>
        <w:rPr>
          <w:lang w:val="fr-CH" w:eastAsia="de-CH"/>
        </w:rPr>
      </w:pPr>
    </w:p>
    <w:p w14:paraId="453F9E5C" w14:textId="77777777" w:rsidR="00C3755A" w:rsidRPr="00E4385B" w:rsidRDefault="00C3755A" w:rsidP="00E80EEA">
      <w:pPr>
        <w:rPr>
          <w:lang w:val="fr-CH" w:eastAsia="de-CH"/>
        </w:rPr>
      </w:pPr>
    </w:p>
    <w:p w14:paraId="34AB0D75" w14:textId="4CDB91E9" w:rsidR="00E80EEA" w:rsidRPr="00E4385B" w:rsidRDefault="00B52C72" w:rsidP="00E80EEA">
      <w:pPr>
        <w:pStyle w:val="LV-Text"/>
        <w:rPr>
          <w:lang w:val="fr-CH"/>
        </w:rPr>
      </w:pPr>
      <w:r>
        <w:rPr>
          <w:lang w:val="fr-CH"/>
        </w:rPr>
        <w:t>En vertu</w:t>
      </w:r>
      <w:r w:rsidR="00E4385B">
        <w:rPr>
          <w:lang w:val="fr-CH"/>
        </w:rPr>
        <w:t xml:space="preserve"> de </w:t>
      </w:r>
      <w:r w:rsidR="00E4385B" w:rsidRPr="00E4385B">
        <w:rPr>
          <w:lang w:val="fr-CH"/>
        </w:rPr>
        <w:t>l’art. </w:t>
      </w:r>
      <w:r w:rsidR="00E80EEA" w:rsidRPr="00E4385B">
        <w:rPr>
          <w:lang w:val="fr-CH"/>
        </w:rPr>
        <w:t>51</w:t>
      </w:r>
      <w:r w:rsidR="00E4385B" w:rsidRPr="00E4385B">
        <w:rPr>
          <w:lang w:val="fr-CH"/>
        </w:rPr>
        <w:t>, al. </w:t>
      </w:r>
      <w:r w:rsidR="00E80EEA" w:rsidRPr="00E4385B">
        <w:rPr>
          <w:lang w:val="fr-CH"/>
        </w:rPr>
        <w:t>1</w:t>
      </w:r>
      <w:r w:rsidR="00E4385B">
        <w:rPr>
          <w:lang w:val="fr-CH"/>
        </w:rPr>
        <w:t>,</w:t>
      </w:r>
      <w:r w:rsidR="00E80EEA" w:rsidRPr="00E4385B">
        <w:rPr>
          <w:lang w:val="fr-CH"/>
        </w:rPr>
        <w:t xml:space="preserve"> de</w:t>
      </w:r>
      <w:r w:rsidR="00E4385B">
        <w:rPr>
          <w:lang w:val="fr-CH"/>
        </w:rPr>
        <w:t xml:space="preserve"> la</w:t>
      </w:r>
      <w:r w:rsidR="00E80EEA" w:rsidRPr="00E4385B">
        <w:rPr>
          <w:lang w:val="fr-CH"/>
        </w:rPr>
        <w:t xml:space="preserve"> </w:t>
      </w:r>
      <w:r w:rsidR="00E4385B">
        <w:rPr>
          <w:lang w:val="fr-CH"/>
        </w:rPr>
        <w:t xml:space="preserve">loi </w:t>
      </w:r>
      <w:r>
        <w:rPr>
          <w:lang w:val="fr-CH"/>
        </w:rPr>
        <w:t xml:space="preserve">fédérale </w:t>
      </w:r>
      <w:r w:rsidR="00E4385B">
        <w:rPr>
          <w:lang w:val="fr-CH"/>
        </w:rPr>
        <w:t xml:space="preserve">du 20 décembre 1957 sur les chemins </w:t>
      </w:r>
      <w:r w:rsidR="00E80EEA" w:rsidRPr="00E4385B">
        <w:rPr>
          <w:lang w:val="fr-CH"/>
        </w:rPr>
        <w:t>(</w:t>
      </w:r>
      <w:r w:rsidR="00E4385B">
        <w:rPr>
          <w:lang w:val="fr-CH"/>
        </w:rPr>
        <w:t>LCdF </w:t>
      </w:r>
      <w:r w:rsidR="00E80EEA" w:rsidRPr="00E4385B">
        <w:rPr>
          <w:lang w:val="fr-CH"/>
        </w:rPr>
        <w:t>; R</w:t>
      </w:r>
      <w:r w:rsidR="00E4385B">
        <w:rPr>
          <w:lang w:val="fr-CH"/>
        </w:rPr>
        <w:t>S </w:t>
      </w:r>
      <w:r w:rsidR="00E80EEA" w:rsidRPr="00E4385B">
        <w:rPr>
          <w:i/>
          <w:iCs/>
          <w:lang w:val="fr-CH"/>
        </w:rPr>
        <w:t>742.101</w:t>
      </w:r>
      <w:r w:rsidR="00E80EEA" w:rsidRPr="00E4385B">
        <w:rPr>
          <w:lang w:val="fr-CH"/>
        </w:rPr>
        <w:t xml:space="preserve">), </w:t>
      </w:r>
    </w:p>
    <w:p w14:paraId="213019C6" w14:textId="77777777" w:rsidR="00E80EEA" w:rsidRPr="00E4385B" w:rsidRDefault="00E80EEA" w:rsidP="00E80EEA">
      <w:pPr>
        <w:rPr>
          <w:lang w:val="fr-CH" w:eastAsia="de-CH"/>
        </w:rPr>
      </w:pPr>
    </w:p>
    <w:p w14:paraId="4D59735B" w14:textId="3B26B437" w:rsidR="00E80EEA" w:rsidRPr="00E4385B" w:rsidRDefault="00147F0C" w:rsidP="00E80EEA">
      <w:pPr>
        <w:pStyle w:val="LV-Text"/>
        <w:rPr>
          <w:lang w:val="fr-CH"/>
        </w:rPr>
      </w:pPr>
      <w:proofErr w:type="gramStart"/>
      <w:r w:rsidRPr="00E4385B">
        <w:rPr>
          <w:lang w:val="fr-CH"/>
        </w:rPr>
        <w:t>la</w:t>
      </w:r>
      <w:proofErr w:type="gramEnd"/>
      <w:r w:rsidRPr="00E4385B">
        <w:rPr>
          <w:lang w:val="fr-CH"/>
        </w:rPr>
        <w:t xml:space="preserve"> Confédération suisse</w:t>
      </w:r>
      <w:r w:rsidR="00E80EEA" w:rsidRPr="00E4385B">
        <w:rPr>
          <w:lang w:val="fr-CH"/>
        </w:rPr>
        <w:t xml:space="preserve">, </w:t>
      </w:r>
      <w:r w:rsidR="00E4385B">
        <w:rPr>
          <w:lang w:val="fr-CH"/>
        </w:rPr>
        <w:t xml:space="preserve">représentée par l’Office fédéral des transports </w:t>
      </w:r>
      <w:r w:rsidR="00E80EEA" w:rsidRPr="00E4385B">
        <w:rPr>
          <w:lang w:val="fr-CH"/>
        </w:rPr>
        <w:t>(</w:t>
      </w:r>
      <w:r w:rsidR="00E4385B">
        <w:rPr>
          <w:lang w:val="fr-CH"/>
        </w:rPr>
        <w:t>OFT</w:t>
      </w:r>
      <w:r w:rsidR="00E80EEA" w:rsidRPr="00E4385B">
        <w:rPr>
          <w:lang w:val="fr-CH"/>
        </w:rPr>
        <w:t>), 3003 Bern</w:t>
      </w:r>
      <w:r w:rsidR="00E4385B">
        <w:rPr>
          <w:lang w:val="fr-CH"/>
        </w:rPr>
        <w:t>e</w:t>
      </w:r>
      <w:r w:rsidR="00E80EEA" w:rsidRPr="00E4385B">
        <w:rPr>
          <w:lang w:val="fr-CH"/>
        </w:rPr>
        <w:t>,</w:t>
      </w:r>
    </w:p>
    <w:p w14:paraId="7BAB4D43" w14:textId="77777777" w:rsidR="00E80EEA" w:rsidRPr="00E4385B" w:rsidRDefault="00E80EEA" w:rsidP="00E80EEA">
      <w:pPr>
        <w:pStyle w:val="LV-Text"/>
        <w:rPr>
          <w:lang w:val="fr-CH"/>
        </w:rPr>
      </w:pPr>
    </w:p>
    <w:p w14:paraId="75BFF00F" w14:textId="3B7F7103" w:rsidR="00E80EEA" w:rsidRPr="00E4385B" w:rsidRDefault="00147F0C" w:rsidP="00E80EEA">
      <w:pPr>
        <w:pStyle w:val="LV-Text"/>
        <w:rPr>
          <w:lang w:val="fr-CH"/>
        </w:rPr>
      </w:pPr>
      <w:proofErr w:type="gramStart"/>
      <w:r w:rsidRPr="00E4385B">
        <w:rPr>
          <w:lang w:val="fr-CH"/>
        </w:rPr>
        <w:t>et</w:t>
      </w:r>
      <w:proofErr w:type="gramEnd"/>
    </w:p>
    <w:p w14:paraId="5F695EDE" w14:textId="77777777" w:rsidR="00E80EEA" w:rsidRPr="00E4385B" w:rsidRDefault="00E80EEA" w:rsidP="00E80EEA">
      <w:pPr>
        <w:pStyle w:val="LV-Text"/>
        <w:rPr>
          <w:lang w:val="fr-CH"/>
        </w:rPr>
      </w:pPr>
    </w:p>
    <w:p w14:paraId="68694862" w14:textId="58396771" w:rsidR="00E80EEA" w:rsidRPr="00E4385B" w:rsidRDefault="00147F0C" w:rsidP="00E80EEA">
      <w:pPr>
        <w:pStyle w:val="LV-Text"/>
        <w:rPr>
          <w:lang w:val="fr-CH"/>
        </w:rPr>
      </w:pPr>
      <w:proofErr w:type="gramStart"/>
      <w:r w:rsidRPr="00E4385B">
        <w:rPr>
          <w:lang w:val="fr-CH"/>
        </w:rPr>
        <w:t>le</w:t>
      </w:r>
      <w:proofErr w:type="gramEnd"/>
      <w:r w:rsidRPr="00E4385B">
        <w:rPr>
          <w:lang w:val="fr-CH"/>
        </w:rPr>
        <w:t xml:space="preserve"> gestionnaire d’infrastructure [XXX</w:t>
      </w:r>
      <w:r w:rsidR="00B52C72">
        <w:rPr>
          <w:lang w:val="fr-CH"/>
        </w:rPr>
        <w:t>]</w:t>
      </w:r>
      <w:r w:rsidRPr="00E4385B">
        <w:rPr>
          <w:lang w:val="fr-CH"/>
        </w:rPr>
        <w:t xml:space="preserve"> SA</w:t>
      </w:r>
    </w:p>
    <w:p w14:paraId="2A0ABA5C" w14:textId="77777777" w:rsidR="00E80EEA" w:rsidRPr="00E4385B" w:rsidRDefault="00E80EEA" w:rsidP="00E80EEA">
      <w:pPr>
        <w:pStyle w:val="LV-Text"/>
        <w:rPr>
          <w:lang w:val="fr-CH"/>
        </w:rPr>
      </w:pPr>
    </w:p>
    <w:p w14:paraId="789C1E54" w14:textId="1E797648" w:rsidR="00E80EEA" w:rsidRPr="00E4385B" w:rsidRDefault="00E4385B" w:rsidP="00E80EEA">
      <w:pPr>
        <w:pStyle w:val="LV-Text"/>
        <w:rPr>
          <w:lang w:val="fr-CH"/>
        </w:rPr>
      </w:pPr>
      <w:proofErr w:type="gramStart"/>
      <w:r>
        <w:rPr>
          <w:lang w:val="fr-CH"/>
        </w:rPr>
        <w:t>con</w:t>
      </w:r>
      <w:r w:rsidR="00B52C72">
        <w:rPr>
          <w:lang w:val="fr-CH"/>
        </w:rPr>
        <w:t>cluent</w:t>
      </w:r>
      <w:proofErr w:type="gramEnd"/>
      <w:r w:rsidR="00B52C72">
        <w:rPr>
          <w:lang w:val="fr-CH"/>
        </w:rPr>
        <w:t xml:space="preserve"> une</w:t>
      </w:r>
    </w:p>
    <w:p w14:paraId="18448497" w14:textId="77777777" w:rsidR="00E80EEA" w:rsidRPr="00E4385B" w:rsidRDefault="00E80EEA" w:rsidP="00E80EEA">
      <w:pPr>
        <w:pStyle w:val="LV-Text"/>
        <w:rPr>
          <w:lang w:val="fr-CH"/>
        </w:rPr>
      </w:pPr>
    </w:p>
    <w:p w14:paraId="179F42F0" w14:textId="77777777" w:rsidR="00E80EEA" w:rsidRPr="00E4385B" w:rsidRDefault="00E80EEA" w:rsidP="00E80EEA">
      <w:pPr>
        <w:pStyle w:val="Titelschrift13pt"/>
        <w:tabs>
          <w:tab w:val="left" w:pos="0"/>
          <w:tab w:val="left" w:pos="6237"/>
          <w:tab w:val="left" w:pos="7797"/>
        </w:tabs>
        <w:spacing w:line="288" w:lineRule="auto"/>
        <w:ind w:left="0"/>
        <w:jc w:val="both"/>
        <w:rPr>
          <w:sz w:val="20"/>
          <w:lang w:val="fr-CH"/>
        </w:rPr>
      </w:pPr>
    </w:p>
    <w:p w14:paraId="53D7BFDC" w14:textId="77777777" w:rsidR="00E80EEA" w:rsidRPr="00E4385B" w:rsidRDefault="00E80EEA" w:rsidP="00E80EEA">
      <w:pPr>
        <w:pStyle w:val="LV-Text"/>
        <w:rPr>
          <w:lang w:val="fr-CH"/>
        </w:rPr>
      </w:pPr>
    </w:p>
    <w:p w14:paraId="16E8507D" w14:textId="77777777" w:rsidR="00E80EEA" w:rsidRPr="00E4385B" w:rsidRDefault="00E80EEA" w:rsidP="00E80EEA">
      <w:pPr>
        <w:pStyle w:val="LV-Text"/>
        <w:rPr>
          <w:lang w:val="fr-CH"/>
        </w:rPr>
      </w:pPr>
    </w:p>
    <w:p w14:paraId="69647EA9" w14:textId="77777777" w:rsidR="00423175" w:rsidRPr="00E4385B" w:rsidRDefault="00423175" w:rsidP="00E80EEA">
      <w:pPr>
        <w:pStyle w:val="LV-Text"/>
        <w:rPr>
          <w:lang w:val="fr-CH"/>
        </w:rPr>
      </w:pPr>
    </w:p>
    <w:p w14:paraId="4F5BFC86" w14:textId="77777777" w:rsidR="007142ED" w:rsidRPr="00E4385B" w:rsidRDefault="007142ED" w:rsidP="00E80EEA">
      <w:pPr>
        <w:pStyle w:val="LV-Text"/>
        <w:rPr>
          <w:lang w:val="fr-CH"/>
        </w:rPr>
      </w:pPr>
    </w:p>
    <w:p w14:paraId="16F3866F" w14:textId="77777777" w:rsidR="007142ED" w:rsidRPr="00E4385B" w:rsidRDefault="007142ED" w:rsidP="00E80EEA">
      <w:pPr>
        <w:pStyle w:val="LV-Text"/>
        <w:rPr>
          <w:lang w:val="fr-CH"/>
        </w:rPr>
      </w:pPr>
    </w:p>
    <w:p w14:paraId="17791D6E" w14:textId="77777777" w:rsidR="007142ED" w:rsidRPr="00E4385B" w:rsidRDefault="007142ED" w:rsidP="00E80EEA">
      <w:pPr>
        <w:pStyle w:val="LV-Text"/>
        <w:rPr>
          <w:lang w:val="fr-CH"/>
        </w:rPr>
      </w:pPr>
    </w:p>
    <w:p w14:paraId="1C6AB4EB" w14:textId="1D6386F5" w:rsidR="00820BAA" w:rsidRPr="00E4385B" w:rsidRDefault="00B52C72" w:rsidP="007142ED">
      <w:pPr>
        <w:pStyle w:val="LV-Titel"/>
        <w:rPr>
          <w:lang w:val="fr-CH"/>
        </w:rPr>
      </w:pPr>
      <w:bookmarkStart w:id="0" w:name="_Hlk174530981"/>
      <w:r>
        <w:rPr>
          <w:lang w:val="fr-CH"/>
        </w:rPr>
        <w:t>C</w:t>
      </w:r>
      <w:r w:rsidR="00E4385B" w:rsidRPr="00684F5B">
        <w:rPr>
          <w:lang w:val="fr-CH"/>
        </w:rPr>
        <w:t xml:space="preserve">onvention </w:t>
      </w:r>
      <w:r w:rsidR="00CF1751">
        <w:rPr>
          <w:lang w:val="fr-CH"/>
        </w:rPr>
        <w:t>sur les</w:t>
      </w:r>
      <w:r w:rsidR="00E4385B" w:rsidRPr="00684F5B">
        <w:rPr>
          <w:lang w:val="fr-CH"/>
        </w:rPr>
        <w:t xml:space="preserve"> prestations </w:t>
      </w:r>
      <w:bookmarkEnd w:id="0"/>
      <w:r w:rsidR="00E4385B" w:rsidRPr="00684F5B">
        <w:rPr>
          <w:lang w:val="fr-CH"/>
        </w:rPr>
        <w:t>pour les années 202</w:t>
      </w:r>
      <w:r w:rsidR="00E4385B">
        <w:rPr>
          <w:lang w:val="fr-CH"/>
        </w:rPr>
        <w:t xml:space="preserve">5 à </w:t>
      </w:r>
      <w:r w:rsidR="00E4385B" w:rsidRPr="00684F5B">
        <w:rPr>
          <w:lang w:val="fr-CH"/>
        </w:rPr>
        <w:t>202</w:t>
      </w:r>
      <w:r w:rsidR="00E4385B">
        <w:rPr>
          <w:lang w:val="fr-CH"/>
        </w:rPr>
        <w:t>8</w:t>
      </w:r>
    </w:p>
    <w:p w14:paraId="44AB5870" w14:textId="77777777" w:rsidR="00026499" w:rsidRPr="00E4385B" w:rsidRDefault="000612E9">
      <w:pPr>
        <w:spacing w:after="160" w:line="259" w:lineRule="auto"/>
        <w:rPr>
          <w:rFonts w:eastAsia="Times New Roman"/>
          <w:i/>
          <w:sz w:val="22"/>
          <w:lang w:val="fr-CH" w:eastAsia="de-DE"/>
        </w:rPr>
      </w:pPr>
      <w:r w:rsidRPr="00E4385B">
        <w:rPr>
          <w:rFonts w:eastAsia="Times New Roman"/>
          <w:i/>
          <w:sz w:val="22"/>
          <w:lang w:val="fr-CH" w:eastAsia="de-DE"/>
        </w:rPr>
        <w:br w:type="page"/>
      </w:r>
    </w:p>
    <w:p w14:paraId="7C6C9BF2" w14:textId="226765FC" w:rsidR="00243EBA" w:rsidRPr="00E4385B" w:rsidRDefault="00243EBA" w:rsidP="00820BAA">
      <w:pPr>
        <w:pStyle w:val="Absatzkurs"/>
        <w:spacing w:line="276" w:lineRule="auto"/>
        <w:rPr>
          <w:rFonts w:ascii="Arial" w:hAnsi="Arial" w:cs="Arial"/>
          <w:sz w:val="22"/>
          <w:szCs w:val="22"/>
          <w:lang w:val="fr-CH"/>
        </w:rPr>
      </w:pPr>
      <w:r w:rsidRPr="00E4385B">
        <w:rPr>
          <w:rFonts w:ascii="Arial" w:hAnsi="Arial" w:cs="Arial"/>
          <w:sz w:val="22"/>
          <w:szCs w:val="22"/>
          <w:lang w:val="fr-CH"/>
        </w:rPr>
        <w:lastRenderedPageBreak/>
        <w:t>Pr</w:t>
      </w:r>
      <w:r w:rsidR="00E4385B">
        <w:rPr>
          <w:rFonts w:ascii="Arial" w:hAnsi="Arial" w:cs="Arial"/>
          <w:sz w:val="22"/>
          <w:szCs w:val="22"/>
          <w:lang w:val="fr-CH"/>
        </w:rPr>
        <w:t>éambule </w:t>
      </w:r>
      <w:r w:rsidRPr="00E4385B">
        <w:rPr>
          <w:rFonts w:ascii="Arial" w:hAnsi="Arial" w:cs="Arial"/>
          <w:sz w:val="22"/>
          <w:szCs w:val="22"/>
          <w:lang w:val="fr-CH"/>
        </w:rPr>
        <w:t>:</w:t>
      </w:r>
    </w:p>
    <w:p w14:paraId="6DA79C41" w14:textId="65B4FD20" w:rsidR="00243EBA" w:rsidRPr="00E4385B" w:rsidRDefault="00243EBA" w:rsidP="00820BAA">
      <w:pPr>
        <w:pStyle w:val="Absatz"/>
        <w:spacing w:line="240" w:lineRule="auto"/>
        <w:rPr>
          <w:rFonts w:ascii="Arial" w:hAnsi="Arial" w:cs="Arial"/>
          <w:sz w:val="22"/>
          <w:szCs w:val="22"/>
          <w:lang w:val="fr-CH"/>
        </w:rPr>
      </w:pPr>
      <w:r w:rsidRPr="00E4385B">
        <w:rPr>
          <w:rFonts w:ascii="Arial" w:hAnsi="Arial" w:cs="Arial"/>
          <w:position w:val="4"/>
          <w:sz w:val="22"/>
          <w:szCs w:val="22"/>
          <w:vertAlign w:val="superscript"/>
          <w:lang w:val="fr-CH"/>
        </w:rPr>
        <w:t>1</w:t>
      </w:r>
      <w:r w:rsidRPr="00E4385B">
        <w:rPr>
          <w:rFonts w:ascii="Arial" w:hAnsi="Arial" w:cs="Arial"/>
          <w:sz w:val="22"/>
          <w:szCs w:val="22"/>
          <w:lang w:val="fr-CH"/>
        </w:rPr>
        <w:t> </w:t>
      </w:r>
      <w:r w:rsidR="00E4385B" w:rsidRPr="00E4385B">
        <w:rPr>
          <w:rFonts w:ascii="Arial" w:hAnsi="Arial" w:cs="Arial"/>
          <w:sz w:val="22"/>
          <w:szCs w:val="22"/>
          <w:lang w:val="fr-CH"/>
        </w:rPr>
        <w:t>La présente convention sur les prestations fixe les objectifs et les prestations élaborés en commun par la Confédération suisse (Confédération), représentée par l’Office fédéral des transports (OFT), ci-après «</w:t>
      </w:r>
      <w:r w:rsidR="00E4385B">
        <w:rPr>
          <w:rFonts w:ascii="Arial" w:hAnsi="Arial" w:cs="Arial"/>
          <w:sz w:val="22"/>
          <w:szCs w:val="22"/>
          <w:lang w:val="fr-CH"/>
        </w:rPr>
        <w:t> </w:t>
      </w:r>
      <w:r w:rsidR="00E4385B" w:rsidRPr="00E4385B">
        <w:rPr>
          <w:rFonts w:ascii="Arial" w:hAnsi="Arial" w:cs="Arial"/>
          <w:sz w:val="22"/>
          <w:szCs w:val="22"/>
          <w:lang w:val="fr-CH"/>
        </w:rPr>
        <w:t>commanditaire</w:t>
      </w:r>
      <w:r w:rsidR="00E4385B">
        <w:rPr>
          <w:rFonts w:ascii="Arial" w:hAnsi="Arial" w:cs="Arial"/>
          <w:sz w:val="22"/>
          <w:szCs w:val="22"/>
          <w:lang w:val="fr-CH"/>
        </w:rPr>
        <w:t> </w:t>
      </w:r>
      <w:r w:rsidR="00E4385B" w:rsidRPr="00E4385B">
        <w:rPr>
          <w:rFonts w:ascii="Arial" w:hAnsi="Arial" w:cs="Arial"/>
          <w:sz w:val="22"/>
          <w:szCs w:val="22"/>
          <w:lang w:val="fr-CH"/>
        </w:rPr>
        <w:t>» et le gestionnaire d’infrastructure [XXX SA], ci-après «</w:t>
      </w:r>
      <w:r w:rsidR="00E4385B">
        <w:rPr>
          <w:rFonts w:ascii="Arial" w:hAnsi="Arial" w:cs="Arial"/>
          <w:sz w:val="22"/>
          <w:szCs w:val="22"/>
          <w:lang w:val="fr-CH"/>
        </w:rPr>
        <w:t> </w:t>
      </w:r>
      <w:r w:rsidR="00E4385B" w:rsidRPr="00E4385B">
        <w:rPr>
          <w:rFonts w:ascii="Arial" w:hAnsi="Arial" w:cs="Arial"/>
          <w:sz w:val="22"/>
          <w:szCs w:val="22"/>
          <w:lang w:val="fr-CH"/>
        </w:rPr>
        <w:t>entreprise</w:t>
      </w:r>
      <w:r w:rsidR="00E4385B">
        <w:rPr>
          <w:rFonts w:ascii="Arial" w:hAnsi="Arial" w:cs="Arial"/>
          <w:sz w:val="22"/>
          <w:szCs w:val="22"/>
          <w:lang w:val="fr-CH"/>
        </w:rPr>
        <w:t> </w:t>
      </w:r>
      <w:r w:rsidR="00E4385B" w:rsidRPr="00E4385B">
        <w:rPr>
          <w:rFonts w:ascii="Arial" w:hAnsi="Arial" w:cs="Arial"/>
          <w:sz w:val="22"/>
          <w:szCs w:val="22"/>
          <w:lang w:val="fr-CH"/>
        </w:rPr>
        <w:t>» pour les années 202</w:t>
      </w:r>
      <w:r w:rsidR="00E4385B">
        <w:rPr>
          <w:rFonts w:ascii="Arial" w:hAnsi="Arial" w:cs="Arial"/>
          <w:sz w:val="22"/>
          <w:szCs w:val="22"/>
          <w:lang w:val="fr-CH"/>
        </w:rPr>
        <w:t>5</w:t>
      </w:r>
      <w:r w:rsidR="00E4385B" w:rsidRPr="00E4385B">
        <w:rPr>
          <w:rFonts w:ascii="Arial" w:hAnsi="Arial" w:cs="Arial"/>
          <w:sz w:val="22"/>
          <w:szCs w:val="22"/>
          <w:lang w:val="fr-CH"/>
        </w:rPr>
        <w:t xml:space="preserve"> à 202</w:t>
      </w:r>
      <w:r w:rsidR="00E4385B">
        <w:rPr>
          <w:rFonts w:ascii="Arial" w:hAnsi="Arial" w:cs="Arial"/>
          <w:sz w:val="22"/>
          <w:szCs w:val="22"/>
          <w:lang w:val="fr-CH"/>
        </w:rPr>
        <w:t>8</w:t>
      </w:r>
      <w:r w:rsidR="00E4385B" w:rsidRPr="00E4385B">
        <w:rPr>
          <w:rFonts w:ascii="Arial" w:hAnsi="Arial" w:cs="Arial"/>
          <w:sz w:val="22"/>
          <w:szCs w:val="22"/>
          <w:lang w:val="fr-CH"/>
        </w:rPr>
        <w:t xml:space="preserve">. </w:t>
      </w:r>
    </w:p>
    <w:p w14:paraId="3E836CCB" w14:textId="6B72A51A" w:rsidR="00E4385B" w:rsidRPr="00E4385B" w:rsidRDefault="00E4385B" w:rsidP="00E4385B">
      <w:pPr>
        <w:pStyle w:val="Absatz"/>
        <w:spacing w:line="240" w:lineRule="auto"/>
        <w:rPr>
          <w:rFonts w:ascii="Arial" w:hAnsi="Arial" w:cs="Arial"/>
          <w:sz w:val="22"/>
          <w:szCs w:val="22"/>
          <w:lang w:val="fr-CH"/>
        </w:rPr>
      </w:pPr>
      <w:r w:rsidRPr="00E4385B">
        <w:rPr>
          <w:rFonts w:ascii="Arial" w:hAnsi="Arial" w:cs="Arial"/>
          <w:sz w:val="22"/>
          <w:szCs w:val="22"/>
          <w:vertAlign w:val="superscript"/>
          <w:lang w:val="fr-CH"/>
        </w:rPr>
        <w:t>2 </w:t>
      </w:r>
      <w:r w:rsidRPr="00E4385B">
        <w:rPr>
          <w:rFonts w:ascii="Arial" w:hAnsi="Arial" w:cs="Arial"/>
          <w:sz w:val="22"/>
          <w:szCs w:val="22"/>
          <w:lang w:val="fr-CH"/>
        </w:rPr>
        <w:t>Les objectifs pluriannuels et la nette séparation des compétences entre l’OFT et l’entreprise doivent permettre des prises de décisions entrepreneuriales effic</w:t>
      </w:r>
      <w:r>
        <w:rPr>
          <w:rFonts w:ascii="Arial" w:hAnsi="Arial" w:cs="Arial"/>
          <w:sz w:val="22"/>
          <w:szCs w:val="22"/>
          <w:lang w:val="fr-CH"/>
        </w:rPr>
        <w:t>ientes</w:t>
      </w:r>
      <w:r w:rsidRPr="00E4385B">
        <w:rPr>
          <w:rFonts w:ascii="Arial" w:hAnsi="Arial" w:cs="Arial"/>
          <w:sz w:val="22"/>
          <w:szCs w:val="22"/>
          <w:lang w:val="fr-CH"/>
        </w:rPr>
        <w:t xml:space="preserve"> dans un cadre fiable.</w:t>
      </w:r>
    </w:p>
    <w:p w14:paraId="52F171C6" w14:textId="5A200A00" w:rsidR="00E4385B" w:rsidRPr="00E4385B" w:rsidRDefault="00E4385B" w:rsidP="00E4385B">
      <w:pPr>
        <w:pStyle w:val="Absatz"/>
        <w:spacing w:line="240" w:lineRule="auto"/>
        <w:rPr>
          <w:rFonts w:ascii="Arial" w:hAnsi="Arial" w:cs="Arial"/>
          <w:sz w:val="22"/>
          <w:szCs w:val="22"/>
          <w:lang w:val="fr-CH"/>
        </w:rPr>
      </w:pPr>
      <w:r w:rsidRPr="00E4385B">
        <w:rPr>
          <w:rFonts w:ascii="Arial" w:hAnsi="Arial" w:cs="Arial"/>
          <w:sz w:val="22"/>
          <w:szCs w:val="22"/>
          <w:vertAlign w:val="superscript"/>
          <w:lang w:val="fr-CH"/>
        </w:rPr>
        <w:t>3 </w:t>
      </w:r>
      <w:r w:rsidRPr="00E4385B">
        <w:rPr>
          <w:rFonts w:ascii="Arial" w:hAnsi="Arial" w:cs="Arial"/>
          <w:sz w:val="22"/>
          <w:szCs w:val="22"/>
          <w:lang w:val="fr-CH"/>
        </w:rPr>
        <w:t xml:space="preserve">Par la présente convention, la Confédération commande les prestations nécessaires à l’exploitation, </w:t>
      </w:r>
      <w:r w:rsidR="00377436">
        <w:rPr>
          <w:rFonts w:ascii="Arial" w:hAnsi="Arial" w:cs="Arial"/>
          <w:sz w:val="22"/>
          <w:szCs w:val="22"/>
          <w:lang w:val="fr-CH"/>
        </w:rPr>
        <w:t>au maintien de la qualité des infrastructures (</w:t>
      </w:r>
      <w:r>
        <w:rPr>
          <w:rFonts w:ascii="Arial" w:hAnsi="Arial" w:cs="Arial"/>
          <w:sz w:val="22"/>
          <w:szCs w:val="22"/>
          <w:lang w:val="fr-CH"/>
        </w:rPr>
        <w:t>maintenance</w:t>
      </w:r>
      <w:r w:rsidR="00377436">
        <w:rPr>
          <w:rFonts w:ascii="Arial" w:hAnsi="Arial" w:cs="Arial"/>
          <w:sz w:val="22"/>
          <w:szCs w:val="22"/>
          <w:lang w:val="fr-CH"/>
        </w:rPr>
        <w:t>)</w:t>
      </w:r>
      <w:r w:rsidRPr="00E4385B">
        <w:rPr>
          <w:rFonts w:ascii="Arial" w:hAnsi="Arial" w:cs="Arial"/>
          <w:sz w:val="22"/>
          <w:szCs w:val="22"/>
          <w:lang w:val="fr-CH"/>
        </w:rPr>
        <w:t xml:space="preserve"> et au </w:t>
      </w:r>
      <w:r>
        <w:rPr>
          <w:rFonts w:ascii="Arial" w:hAnsi="Arial" w:cs="Arial"/>
          <w:sz w:val="22"/>
          <w:szCs w:val="22"/>
          <w:lang w:val="fr-CH"/>
        </w:rPr>
        <w:t>perfectionne</w:t>
      </w:r>
      <w:r w:rsidRPr="00E4385B">
        <w:rPr>
          <w:rFonts w:ascii="Arial" w:hAnsi="Arial" w:cs="Arial"/>
          <w:sz w:val="22"/>
          <w:szCs w:val="22"/>
          <w:lang w:val="fr-CH"/>
        </w:rPr>
        <w:t>ment de l’infrastructure. La commande de prestations dans le domaine des tâches systémiques, du transport de voyageurs et de marchandises donne lieu à des conventions séparées. Les fonds fédéraux indispensables au financement des prestations d’infrastructure commandées sont mis à disposition au titre d’un plafond de dépenses pour les années 202</w:t>
      </w:r>
      <w:r>
        <w:rPr>
          <w:rFonts w:ascii="Arial" w:hAnsi="Arial" w:cs="Arial"/>
          <w:sz w:val="22"/>
          <w:szCs w:val="22"/>
          <w:lang w:val="fr-CH"/>
        </w:rPr>
        <w:t>5</w:t>
      </w:r>
      <w:r w:rsidRPr="00E4385B">
        <w:rPr>
          <w:rFonts w:ascii="Arial" w:hAnsi="Arial" w:cs="Arial"/>
          <w:sz w:val="22"/>
          <w:szCs w:val="22"/>
          <w:lang w:val="fr-CH"/>
        </w:rPr>
        <w:t xml:space="preserve"> à 202</w:t>
      </w:r>
      <w:r>
        <w:rPr>
          <w:rFonts w:ascii="Arial" w:hAnsi="Arial" w:cs="Arial"/>
          <w:sz w:val="22"/>
          <w:szCs w:val="22"/>
          <w:lang w:val="fr-CH"/>
        </w:rPr>
        <w:t>8</w:t>
      </w:r>
      <w:r w:rsidRPr="00E4385B">
        <w:rPr>
          <w:rFonts w:ascii="Arial" w:hAnsi="Arial" w:cs="Arial"/>
          <w:sz w:val="22"/>
          <w:szCs w:val="22"/>
          <w:lang w:val="fr-CH"/>
        </w:rPr>
        <w:t>.</w:t>
      </w:r>
    </w:p>
    <w:p w14:paraId="13A6A474" w14:textId="37F69483" w:rsidR="00E4385B" w:rsidRPr="00E4385B" w:rsidRDefault="00E4385B" w:rsidP="00E4385B">
      <w:pPr>
        <w:pStyle w:val="Absatz"/>
        <w:spacing w:line="240" w:lineRule="auto"/>
        <w:rPr>
          <w:rFonts w:ascii="Arial" w:hAnsi="Arial" w:cs="Arial"/>
          <w:sz w:val="22"/>
          <w:szCs w:val="22"/>
          <w:lang w:val="fr-CH"/>
        </w:rPr>
      </w:pPr>
      <w:r w:rsidRPr="00E4385B">
        <w:rPr>
          <w:rFonts w:ascii="Arial" w:hAnsi="Arial" w:cs="Arial"/>
          <w:sz w:val="22"/>
          <w:szCs w:val="22"/>
          <w:vertAlign w:val="superscript"/>
          <w:lang w:val="fr-CH"/>
        </w:rPr>
        <w:t>4 </w:t>
      </w:r>
      <w:r w:rsidRPr="00E4385B">
        <w:rPr>
          <w:rFonts w:ascii="Arial" w:hAnsi="Arial" w:cs="Arial"/>
          <w:sz w:val="22"/>
          <w:szCs w:val="22"/>
          <w:lang w:val="fr-CH"/>
        </w:rPr>
        <w:t xml:space="preserve">La commande destinée </w:t>
      </w:r>
      <w:r w:rsidR="00377436">
        <w:rPr>
          <w:rFonts w:ascii="Arial" w:hAnsi="Arial" w:cs="Arial"/>
          <w:sz w:val="22"/>
          <w:szCs w:val="22"/>
          <w:lang w:val="fr-CH"/>
        </w:rPr>
        <w:t>à la maintenance</w:t>
      </w:r>
      <w:r w:rsidRPr="00E4385B">
        <w:rPr>
          <w:rFonts w:ascii="Arial" w:hAnsi="Arial" w:cs="Arial"/>
          <w:sz w:val="22"/>
          <w:szCs w:val="22"/>
          <w:lang w:val="fr-CH"/>
        </w:rPr>
        <w:t xml:space="preserve"> est coordonnée avec les projets financés séparément moyennant des conventions de mise en œuvre propres, notamment dans le cadre des grands projets ZEB, corridor 4 mètres et PRODES, de même que dans le cadre des projets d’agglomération financés par le fonds pour les routes nationales et le trafic d’agglomération (FORTA).</w:t>
      </w:r>
    </w:p>
    <w:p w14:paraId="7AFFC2B7" w14:textId="111B68BF" w:rsidR="00E4385B" w:rsidRPr="00E4385B" w:rsidRDefault="00E4385B" w:rsidP="00E4385B">
      <w:pPr>
        <w:pStyle w:val="Absatz"/>
        <w:spacing w:line="240" w:lineRule="auto"/>
        <w:rPr>
          <w:rFonts w:ascii="Arial" w:hAnsi="Arial" w:cs="Arial"/>
          <w:sz w:val="22"/>
          <w:szCs w:val="22"/>
          <w:lang w:val="fr-CH"/>
        </w:rPr>
      </w:pPr>
      <w:r w:rsidRPr="00E4385B">
        <w:rPr>
          <w:rFonts w:ascii="Arial" w:hAnsi="Arial" w:cs="Arial"/>
          <w:sz w:val="22"/>
          <w:szCs w:val="22"/>
          <w:vertAlign w:val="superscript"/>
          <w:lang w:val="fr-CH"/>
        </w:rPr>
        <w:t>5 </w:t>
      </w:r>
      <w:r w:rsidRPr="00E4385B">
        <w:rPr>
          <w:rFonts w:ascii="Arial" w:hAnsi="Arial" w:cs="Arial"/>
          <w:sz w:val="22"/>
          <w:szCs w:val="22"/>
          <w:lang w:val="fr-CH"/>
        </w:rPr>
        <w:t xml:space="preserve">[Pour les chemins de fer sans transport de marchandises ou sans accès au réseau par des tiers, concerne au moins </w:t>
      </w:r>
      <w:proofErr w:type="spellStart"/>
      <w:r w:rsidRPr="00E4385B">
        <w:rPr>
          <w:rFonts w:ascii="Arial" w:hAnsi="Arial" w:cs="Arial"/>
          <w:sz w:val="22"/>
          <w:szCs w:val="22"/>
          <w:lang w:val="fr-CH"/>
        </w:rPr>
        <w:t>NStCM</w:t>
      </w:r>
      <w:proofErr w:type="spellEnd"/>
      <w:r w:rsidRPr="00E4385B">
        <w:rPr>
          <w:rFonts w:ascii="Arial" w:hAnsi="Arial" w:cs="Arial"/>
          <w:sz w:val="22"/>
          <w:szCs w:val="22"/>
          <w:lang w:val="fr-CH"/>
        </w:rPr>
        <w:t xml:space="preserve">, </w:t>
      </w:r>
      <w:proofErr w:type="spellStart"/>
      <w:r w:rsidRPr="00E4385B">
        <w:rPr>
          <w:rFonts w:ascii="Arial" w:hAnsi="Arial" w:cs="Arial"/>
          <w:sz w:val="22"/>
          <w:szCs w:val="22"/>
          <w:lang w:val="fr-CH"/>
        </w:rPr>
        <w:t>LEB</w:t>
      </w:r>
      <w:proofErr w:type="spellEnd"/>
      <w:r w:rsidRPr="00E4385B">
        <w:rPr>
          <w:rFonts w:ascii="Arial" w:hAnsi="Arial" w:cs="Arial"/>
          <w:sz w:val="22"/>
          <w:szCs w:val="22"/>
          <w:lang w:val="fr-CH"/>
        </w:rPr>
        <w:t>, FB</w:t>
      </w:r>
      <w:r>
        <w:rPr>
          <w:rFonts w:ascii="Arial" w:hAnsi="Arial" w:cs="Arial"/>
          <w:sz w:val="22"/>
          <w:szCs w:val="22"/>
          <w:lang w:val="fr-CH"/>
        </w:rPr>
        <w:t xml:space="preserve">, </w:t>
      </w:r>
      <w:r w:rsidRPr="00E4385B">
        <w:rPr>
          <w:rFonts w:ascii="Arial" w:hAnsi="Arial" w:cs="Arial"/>
          <w:sz w:val="22"/>
          <w:szCs w:val="22"/>
          <w:lang w:val="fr-CH"/>
        </w:rPr>
        <w:t>FART et FLP] Les dispositions sur le transport de marchandises et sur l’accès au réseau sont de nature préventive et sont applicables aussitôt et pour autant que des intéressés se manifestent pour de telles prestations.</w:t>
      </w:r>
    </w:p>
    <w:p w14:paraId="189639F0" w14:textId="72FDF915" w:rsidR="00243EBA" w:rsidRPr="00E4385B" w:rsidRDefault="00E4385B" w:rsidP="00E4385B">
      <w:pPr>
        <w:pStyle w:val="Absatz"/>
        <w:spacing w:line="240" w:lineRule="auto"/>
        <w:rPr>
          <w:rFonts w:ascii="Arial" w:hAnsi="Arial" w:cs="Arial"/>
          <w:sz w:val="22"/>
          <w:szCs w:val="22"/>
          <w:lang w:val="fr-CH"/>
        </w:rPr>
      </w:pPr>
      <w:r w:rsidRPr="00E4385B">
        <w:rPr>
          <w:rFonts w:ascii="Arial" w:hAnsi="Arial" w:cs="Arial"/>
          <w:sz w:val="22"/>
          <w:szCs w:val="22"/>
          <w:vertAlign w:val="superscript"/>
          <w:lang w:val="fr-CH"/>
        </w:rPr>
        <w:t>6 </w:t>
      </w:r>
      <w:r w:rsidRPr="00E4385B">
        <w:rPr>
          <w:rFonts w:ascii="Arial" w:hAnsi="Arial" w:cs="Arial"/>
          <w:sz w:val="22"/>
          <w:szCs w:val="22"/>
          <w:lang w:val="fr-CH"/>
        </w:rPr>
        <w:t>[En cas de section sans fonction de desserte</w:t>
      </w:r>
      <w:r w:rsidR="005F7E52">
        <w:rPr>
          <w:rFonts w:ascii="Arial" w:hAnsi="Arial" w:cs="Arial"/>
          <w:sz w:val="22"/>
          <w:szCs w:val="22"/>
          <w:lang w:val="fr-CH"/>
        </w:rPr>
        <w:t> </w:t>
      </w:r>
      <w:r w:rsidRPr="00E4385B">
        <w:rPr>
          <w:rFonts w:ascii="Arial" w:hAnsi="Arial" w:cs="Arial"/>
          <w:sz w:val="22"/>
          <w:szCs w:val="22"/>
          <w:lang w:val="fr-CH"/>
        </w:rPr>
        <w:t>:] Le [les] tronçons de … jusqu’à … avec la [Les] section[s] de … jusqu’à, sans fonction de desserte, est [sont] commandée[s] et financée[s] conjointement avec le canton XYZ.</w:t>
      </w:r>
    </w:p>
    <w:p w14:paraId="56397371" w14:textId="77777777" w:rsidR="00243EBA" w:rsidRPr="00E4385B" w:rsidRDefault="00243EBA" w:rsidP="00820BAA">
      <w:pPr>
        <w:spacing w:after="160" w:line="240" w:lineRule="auto"/>
        <w:rPr>
          <w:sz w:val="22"/>
          <w:lang w:val="fr-CH"/>
        </w:rPr>
      </w:pPr>
    </w:p>
    <w:p w14:paraId="6529E95C" w14:textId="62DBA185" w:rsidR="00B25EF6" w:rsidRPr="00B25EF6" w:rsidRDefault="00B25EF6" w:rsidP="00B25EF6">
      <w:pPr>
        <w:pStyle w:val="TitelArtikelKomm"/>
        <w:spacing w:line="360" w:lineRule="auto"/>
        <w:rPr>
          <w:rFonts w:ascii="Arial" w:hAnsi="Arial" w:cs="Arial"/>
          <w:b/>
          <w:i w:val="0"/>
          <w:sz w:val="22"/>
          <w:lang w:val="fr-CH"/>
        </w:rPr>
      </w:pPr>
      <w:r w:rsidRPr="00B25EF6">
        <w:rPr>
          <w:rFonts w:ascii="Arial" w:hAnsi="Arial" w:cs="Arial"/>
          <w:b/>
          <w:i w:val="0"/>
          <w:sz w:val="22"/>
          <w:lang w:val="fr-CH"/>
        </w:rPr>
        <w:t>Section</w:t>
      </w:r>
      <w:r>
        <w:rPr>
          <w:rFonts w:ascii="Arial" w:hAnsi="Arial" w:cs="Arial"/>
          <w:b/>
          <w:i w:val="0"/>
          <w:sz w:val="22"/>
          <w:lang w:val="fr-CH"/>
        </w:rPr>
        <w:t> </w:t>
      </w:r>
      <w:r w:rsidRPr="00B25EF6">
        <w:rPr>
          <w:rFonts w:ascii="Arial" w:hAnsi="Arial" w:cs="Arial"/>
          <w:b/>
          <w:i w:val="0"/>
          <w:sz w:val="22"/>
          <w:lang w:val="fr-CH"/>
        </w:rPr>
        <w:t>1</w:t>
      </w:r>
      <w:r w:rsidRPr="00B25EF6">
        <w:rPr>
          <w:rFonts w:ascii="Arial" w:hAnsi="Arial" w:cs="Arial"/>
          <w:b/>
          <w:i w:val="0"/>
          <w:sz w:val="22"/>
          <w:lang w:val="fr-CH"/>
        </w:rPr>
        <w:tab/>
        <w:t>Objet, bases légales et conditions cadres</w:t>
      </w:r>
    </w:p>
    <w:p w14:paraId="4EF45E7C" w14:textId="3B103221"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B25EF6">
        <w:rPr>
          <w:rFonts w:ascii="Arial" w:hAnsi="Arial" w:cs="Arial"/>
          <w:b/>
          <w:i w:val="0"/>
          <w:sz w:val="22"/>
          <w:lang w:val="fr-CH"/>
        </w:rPr>
        <w:t> </w:t>
      </w:r>
      <w:r w:rsidRPr="00E4385B">
        <w:rPr>
          <w:rFonts w:ascii="Arial" w:hAnsi="Arial" w:cs="Arial"/>
          <w:b/>
          <w:i w:val="0"/>
          <w:sz w:val="22"/>
          <w:lang w:val="fr-CH"/>
        </w:rPr>
        <w:t>1</w:t>
      </w:r>
      <w:r w:rsidRPr="00E4385B">
        <w:rPr>
          <w:rFonts w:ascii="Arial" w:hAnsi="Arial" w:cs="Arial"/>
          <w:b/>
          <w:sz w:val="22"/>
          <w:lang w:val="fr-CH"/>
        </w:rPr>
        <w:tab/>
      </w:r>
      <w:r w:rsidR="00B25EF6">
        <w:rPr>
          <w:rFonts w:ascii="Arial" w:hAnsi="Arial" w:cs="Arial"/>
          <w:b/>
          <w:i w:val="0"/>
          <w:sz w:val="22"/>
          <w:lang w:val="fr-CH"/>
        </w:rPr>
        <w:t>Objet</w:t>
      </w:r>
    </w:p>
    <w:p w14:paraId="2E4E65C4" w14:textId="2CD6F57E" w:rsidR="00B25EF6" w:rsidRPr="00B25EF6" w:rsidRDefault="00B25EF6" w:rsidP="00B25EF6">
      <w:pPr>
        <w:pStyle w:val="Absatz"/>
        <w:spacing w:line="240" w:lineRule="auto"/>
        <w:rPr>
          <w:rFonts w:ascii="Arial" w:hAnsi="Arial" w:cs="Arial"/>
          <w:sz w:val="22"/>
          <w:szCs w:val="22"/>
          <w:lang w:val="fr-CH"/>
        </w:rPr>
      </w:pPr>
      <w:r w:rsidRPr="00B25EF6">
        <w:rPr>
          <w:rFonts w:ascii="Arial" w:hAnsi="Arial" w:cs="Arial"/>
          <w:sz w:val="22"/>
          <w:szCs w:val="22"/>
          <w:vertAlign w:val="superscript"/>
          <w:lang w:val="fr-CH"/>
        </w:rPr>
        <w:t>1 </w:t>
      </w:r>
      <w:r w:rsidRPr="00B25EF6">
        <w:rPr>
          <w:rFonts w:ascii="Arial" w:hAnsi="Arial" w:cs="Arial"/>
          <w:sz w:val="22"/>
          <w:szCs w:val="22"/>
          <w:lang w:val="fr-CH"/>
        </w:rPr>
        <w:t>La présente convention sur les prestations fixe de manière contraignante, au sens de l’art.</w:t>
      </w:r>
      <w:r>
        <w:rPr>
          <w:rFonts w:ascii="Arial" w:hAnsi="Arial" w:cs="Arial"/>
          <w:sz w:val="22"/>
          <w:szCs w:val="22"/>
          <w:lang w:val="fr-CH"/>
        </w:rPr>
        <w:t> </w:t>
      </w:r>
      <w:r w:rsidRPr="00B25EF6">
        <w:rPr>
          <w:rFonts w:ascii="Arial" w:hAnsi="Arial" w:cs="Arial"/>
          <w:sz w:val="22"/>
          <w:szCs w:val="22"/>
          <w:lang w:val="fr-CH"/>
        </w:rPr>
        <w:t>28 de l’ordonnance du 14</w:t>
      </w:r>
      <w:r w:rsidR="00377436">
        <w:rPr>
          <w:rFonts w:ascii="Arial" w:hAnsi="Arial" w:cs="Arial"/>
          <w:sz w:val="22"/>
          <w:szCs w:val="22"/>
          <w:lang w:val="fr-CH"/>
        </w:rPr>
        <w:t> </w:t>
      </w:r>
      <w:r w:rsidRPr="00B25EF6">
        <w:rPr>
          <w:rFonts w:ascii="Arial" w:hAnsi="Arial" w:cs="Arial"/>
          <w:sz w:val="22"/>
          <w:szCs w:val="22"/>
          <w:lang w:val="fr-CH"/>
        </w:rPr>
        <w:t>octobre</w:t>
      </w:r>
      <w:r w:rsidR="00377436">
        <w:rPr>
          <w:rFonts w:ascii="Arial" w:hAnsi="Arial" w:cs="Arial"/>
          <w:sz w:val="22"/>
          <w:szCs w:val="22"/>
          <w:lang w:val="fr-CH"/>
        </w:rPr>
        <w:t> </w:t>
      </w:r>
      <w:r w:rsidRPr="00B25EF6">
        <w:rPr>
          <w:rFonts w:ascii="Arial" w:hAnsi="Arial" w:cs="Arial"/>
          <w:sz w:val="22"/>
          <w:szCs w:val="22"/>
          <w:lang w:val="fr-CH"/>
        </w:rPr>
        <w:t>2015 sur les concessions, la planification et le financement de l’infrastructure ferroviaire (OCPF</w:t>
      </w:r>
      <w:r>
        <w:rPr>
          <w:rFonts w:ascii="Arial" w:hAnsi="Arial" w:cs="Arial"/>
          <w:sz w:val="22"/>
          <w:szCs w:val="22"/>
          <w:lang w:val="fr-CH"/>
        </w:rPr>
        <w:t> </w:t>
      </w:r>
      <w:r w:rsidRPr="00B25EF6">
        <w:rPr>
          <w:rFonts w:ascii="Arial" w:hAnsi="Arial" w:cs="Arial"/>
          <w:sz w:val="22"/>
          <w:szCs w:val="22"/>
          <w:lang w:val="fr-CH"/>
        </w:rPr>
        <w:t>; RS</w:t>
      </w:r>
      <w:r>
        <w:rPr>
          <w:rFonts w:ascii="Arial" w:hAnsi="Arial" w:cs="Arial"/>
          <w:sz w:val="22"/>
          <w:szCs w:val="22"/>
          <w:lang w:val="fr-CH"/>
        </w:rPr>
        <w:t> </w:t>
      </w:r>
      <w:r w:rsidRPr="00B25EF6">
        <w:rPr>
          <w:rFonts w:ascii="Arial" w:hAnsi="Arial" w:cs="Arial"/>
          <w:i/>
          <w:iCs/>
          <w:sz w:val="22"/>
          <w:szCs w:val="22"/>
          <w:lang w:val="fr-CH"/>
        </w:rPr>
        <w:t>742.120</w:t>
      </w:r>
      <w:r w:rsidRPr="00B25EF6">
        <w:rPr>
          <w:rFonts w:ascii="Arial" w:hAnsi="Arial" w:cs="Arial"/>
          <w:sz w:val="22"/>
          <w:szCs w:val="22"/>
          <w:lang w:val="fr-CH"/>
        </w:rPr>
        <w:t>) l’offre de prestations et l’indemnisation du secteur Infrastructure de l’entreprise pour les années 202</w:t>
      </w:r>
      <w:r>
        <w:rPr>
          <w:rFonts w:ascii="Arial" w:hAnsi="Arial" w:cs="Arial"/>
          <w:sz w:val="22"/>
          <w:szCs w:val="22"/>
          <w:lang w:val="fr-CH"/>
        </w:rPr>
        <w:t>5</w:t>
      </w:r>
      <w:r w:rsidRPr="00B25EF6">
        <w:rPr>
          <w:rFonts w:ascii="Arial" w:hAnsi="Arial" w:cs="Arial"/>
          <w:sz w:val="22"/>
          <w:szCs w:val="22"/>
          <w:lang w:val="fr-CH"/>
        </w:rPr>
        <w:t xml:space="preserve"> à 202</w:t>
      </w:r>
      <w:r>
        <w:rPr>
          <w:rFonts w:ascii="Arial" w:hAnsi="Arial" w:cs="Arial"/>
          <w:sz w:val="22"/>
          <w:szCs w:val="22"/>
          <w:lang w:val="fr-CH"/>
        </w:rPr>
        <w:t>8</w:t>
      </w:r>
      <w:r w:rsidRPr="00B25EF6">
        <w:rPr>
          <w:rFonts w:ascii="Arial" w:hAnsi="Arial" w:cs="Arial"/>
          <w:sz w:val="22"/>
          <w:szCs w:val="22"/>
          <w:lang w:val="fr-CH"/>
        </w:rPr>
        <w:t>.</w:t>
      </w:r>
    </w:p>
    <w:p w14:paraId="10A2CB66" w14:textId="1130D059" w:rsidR="00B25EF6" w:rsidRPr="00B25EF6" w:rsidRDefault="00B25EF6" w:rsidP="00B25EF6">
      <w:pPr>
        <w:pStyle w:val="Absatz"/>
        <w:spacing w:line="240" w:lineRule="auto"/>
        <w:rPr>
          <w:rFonts w:ascii="Arial" w:hAnsi="Arial" w:cs="Arial"/>
          <w:sz w:val="22"/>
          <w:szCs w:val="22"/>
          <w:lang w:val="fr-CH"/>
        </w:rPr>
      </w:pPr>
      <w:r w:rsidRPr="00B25EF6">
        <w:rPr>
          <w:rFonts w:ascii="Arial" w:hAnsi="Arial" w:cs="Arial"/>
          <w:sz w:val="22"/>
          <w:szCs w:val="22"/>
          <w:vertAlign w:val="superscript"/>
          <w:lang w:val="fr-CH"/>
        </w:rPr>
        <w:t>2 </w:t>
      </w:r>
      <w:r w:rsidRPr="00B25EF6">
        <w:rPr>
          <w:rFonts w:ascii="Arial" w:hAnsi="Arial" w:cs="Arial"/>
          <w:sz w:val="22"/>
          <w:szCs w:val="22"/>
          <w:lang w:val="fr-CH"/>
        </w:rPr>
        <w:t xml:space="preserve">L’offre de prestations se base sur l’offre </w:t>
      </w:r>
      <w:r w:rsidR="00377436">
        <w:rPr>
          <w:rFonts w:ascii="Arial" w:hAnsi="Arial" w:cs="Arial"/>
          <w:sz w:val="22"/>
          <w:szCs w:val="22"/>
          <w:lang w:val="fr-CH"/>
        </w:rPr>
        <w:t xml:space="preserve">xx du JJ MM AAA, </w:t>
      </w:r>
      <w:r w:rsidRPr="00B25EF6">
        <w:rPr>
          <w:rFonts w:ascii="Arial" w:hAnsi="Arial" w:cs="Arial"/>
          <w:sz w:val="22"/>
          <w:szCs w:val="22"/>
          <w:lang w:val="fr-CH"/>
        </w:rPr>
        <w:t xml:space="preserve">contraignante et dûment signée </w:t>
      </w:r>
      <w:r w:rsidR="00377436">
        <w:rPr>
          <w:rFonts w:ascii="Arial" w:hAnsi="Arial" w:cs="Arial"/>
          <w:sz w:val="22"/>
          <w:szCs w:val="22"/>
          <w:lang w:val="fr-CH"/>
        </w:rPr>
        <w:t>par</w:t>
      </w:r>
      <w:r w:rsidRPr="00B25EF6">
        <w:rPr>
          <w:rFonts w:ascii="Arial" w:hAnsi="Arial" w:cs="Arial"/>
          <w:sz w:val="22"/>
          <w:szCs w:val="22"/>
          <w:lang w:val="fr-CH"/>
        </w:rPr>
        <w:t xml:space="preserve"> l’entreprise</w:t>
      </w:r>
      <w:r w:rsidR="00377436" w:rsidRPr="00377436">
        <w:rPr>
          <w:rFonts w:ascii="Arial" w:hAnsi="Arial" w:cs="Arial"/>
          <w:sz w:val="22"/>
          <w:szCs w:val="22"/>
          <w:lang w:val="fr-CH"/>
        </w:rPr>
        <w:t xml:space="preserve"> </w:t>
      </w:r>
      <w:r w:rsidR="00377436" w:rsidRPr="00B25EF6">
        <w:rPr>
          <w:rFonts w:ascii="Arial" w:hAnsi="Arial" w:cs="Arial"/>
          <w:sz w:val="22"/>
          <w:szCs w:val="22"/>
          <w:lang w:val="fr-CH"/>
        </w:rPr>
        <w:t>conformément à l’art.</w:t>
      </w:r>
      <w:r w:rsidR="00377436">
        <w:rPr>
          <w:rFonts w:ascii="Arial" w:hAnsi="Arial" w:cs="Arial"/>
          <w:sz w:val="22"/>
          <w:szCs w:val="22"/>
          <w:lang w:val="fr-CH"/>
        </w:rPr>
        <w:t> </w:t>
      </w:r>
      <w:r w:rsidR="00377436" w:rsidRPr="00B25EF6">
        <w:rPr>
          <w:rFonts w:ascii="Arial" w:hAnsi="Arial" w:cs="Arial"/>
          <w:sz w:val="22"/>
          <w:szCs w:val="22"/>
          <w:lang w:val="fr-CH"/>
        </w:rPr>
        <w:t>27 OCPF</w:t>
      </w:r>
      <w:r w:rsidRPr="00B25EF6">
        <w:rPr>
          <w:rFonts w:ascii="Arial" w:hAnsi="Arial" w:cs="Arial"/>
          <w:sz w:val="22"/>
          <w:szCs w:val="22"/>
          <w:lang w:val="fr-CH"/>
        </w:rPr>
        <w:t xml:space="preserve">, </w:t>
      </w:r>
      <w:r>
        <w:rPr>
          <w:rFonts w:ascii="Arial" w:hAnsi="Arial" w:cs="Arial"/>
          <w:sz w:val="22"/>
          <w:szCs w:val="22"/>
          <w:lang w:val="fr-CH"/>
        </w:rPr>
        <w:t>reçue</w:t>
      </w:r>
      <w:r w:rsidRPr="00B25EF6">
        <w:rPr>
          <w:rFonts w:ascii="Arial" w:hAnsi="Arial" w:cs="Arial"/>
          <w:sz w:val="22"/>
          <w:szCs w:val="22"/>
          <w:lang w:val="fr-CH"/>
        </w:rPr>
        <w:t xml:space="preserve"> via l’interface électronique Web(-Interface) Données Infrastructure (WDI).</w:t>
      </w:r>
    </w:p>
    <w:p w14:paraId="5061CE90" w14:textId="7BA4A233" w:rsidR="00B25EF6" w:rsidRPr="00B25EF6" w:rsidRDefault="00B25EF6" w:rsidP="00B25EF6">
      <w:pPr>
        <w:pStyle w:val="Absatz"/>
        <w:spacing w:line="240" w:lineRule="auto"/>
        <w:rPr>
          <w:rFonts w:ascii="Arial" w:hAnsi="Arial" w:cs="Arial"/>
          <w:sz w:val="22"/>
          <w:szCs w:val="22"/>
          <w:lang w:val="fr-CH"/>
        </w:rPr>
      </w:pPr>
      <w:r w:rsidRPr="00B25EF6">
        <w:rPr>
          <w:rFonts w:ascii="Arial" w:hAnsi="Arial" w:cs="Arial"/>
          <w:sz w:val="22"/>
          <w:szCs w:val="22"/>
          <w:vertAlign w:val="superscript"/>
          <w:lang w:val="fr-CH"/>
        </w:rPr>
        <w:t>3 </w:t>
      </w:r>
      <w:r w:rsidRPr="00B25EF6">
        <w:rPr>
          <w:rFonts w:ascii="Arial" w:hAnsi="Arial" w:cs="Arial"/>
          <w:sz w:val="22"/>
          <w:szCs w:val="22"/>
          <w:lang w:val="fr-CH"/>
        </w:rPr>
        <w:t>Si certaines dispositions de la présente convention contredisent le contenu de l’offre selon l’al.</w:t>
      </w:r>
      <w:r>
        <w:rPr>
          <w:rFonts w:ascii="Arial" w:hAnsi="Arial" w:cs="Arial"/>
          <w:sz w:val="22"/>
          <w:szCs w:val="22"/>
          <w:lang w:val="fr-CH"/>
        </w:rPr>
        <w:t> </w:t>
      </w:r>
      <w:r w:rsidRPr="00B25EF6">
        <w:rPr>
          <w:rFonts w:ascii="Arial" w:hAnsi="Arial" w:cs="Arial"/>
          <w:sz w:val="22"/>
          <w:szCs w:val="22"/>
          <w:lang w:val="fr-CH"/>
        </w:rPr>
        <w:t xml:space="preserve">2, </w:t>
      </w:r>
      <w:r w:rsidR="005F3A2E">
        <w:rPr>
          <w:rFonts w:ascii="Arial" w:hAnsi="Arial" w:cs="Arial"/>
          <w:sz w:val="22"/>
          <w:szCs w:val="22"/>
          <w:lang w:val="fr-CH"/>
        </w:rPr>
        <w:t>elles</w:t>
      </w:r>
      <w:r w:rsidRPr="00B25EF6">
        <w:rPr>
          <w:rFonts w:ascii="Arial" w:hAnsi="Arial" w:cs="Arial"/>
          <w:sz w:val="22"/>
          <w:szCs w:val="22"/>
          <w:lang w:val="fr-CH"/>
        </w:rPr>
        <w:t xml:space="preserve"> priment les prestations de l’offre.</w:t>
      </w:r>
    </w:p>
    <w:p w14:paraId="512BF8D3" w14:textId="6F5F4A11"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B25EF6">
        <w:rPr>
          <w:rFonts w:ascii="Arial" w:hAnsi="Arial" w:cs="Arial"/>
          <w:b/>
          <w:i w:val="0"/>
          <w:sz w:val="22"/>
          <w:lang w:val="fr-CH"/>
        </w:rPr>
        <w:t> </w:t>
      </w:r>
      <w:r w:rsidRPr="00E4385B">
        <w:rPr>
          <w:rFonts w:ascii="Arial" w:hAnsi="Arial" w:cs="Arial"/>
          <w:b/>
          <w:i w:val="0"/>
          <w:sz w:val="22"/>
          <w:lang w:val="fr-CH"/>
        </w:rPr>
        <w:t>2</w:t>
      </w:r>
      <w:r w:rsidRPr="00E4385B">
        <w:rPr>
          <w:rFonts w:ascii="Arial" w:hAnsi="Arial" w:cs="Arial"/>
          <w:b/>
          <w:sz w:val="22"/>
          <w:lang w:val="fr-CH"/>
        </w:rPr>
        <w:tab/>
      </w:r>
      <w:r w:rsidR="00B25EF6">
        <w:rPr>
          <w:rFonts w:ascii="Arial" w:hAnsi="Arial" w:cs="Arial"/>
          <w:b/>
          <w:i w:val="0"/>
          <w:sz w:val="22"/>
          <w:lang w:val="fr-CH"/>
        </w:rPr>
        <w:t xml:space="preserve">Bases légales </w:t>
      </w:r>
    </w:p>
    <w:p w14:paraId="1EF5A76C" w14:textId="29C4D89E" w:rsidR="00243EBA" w:rsidRDefault="00B25EF6" w:rsidP="00DF7EDA">
      <w:pPr>
        <w:pStyle w:val="Absatz"/>
        <w:spacing w:line="240" w:lineRule="auto"/>
        <w:rPr>
          <w:rFonts w:ascii="Arial" w:hAnsi="Arial" w:cs="Arial"/>
          <w:sz w:val="22"/>
          <w:szCs w:val="22"/>
          <w:lang w:val="fr-CH"/>
        </w:rPr>
      </w:pPr>
      <w:r w:rsidRPr="00B25EF6">
        <w:rPr>
          <w:rFonts w:ascii="Arial" w:hAnsi="Arial" w:cs="Arial"/>
          <w:sz w:val="22"/>
          <w:szCs w:val="22"/>
          <w:lang w:val="fr-CH"/>
        </w:rPr>
        <w:t>Les principales bases légales applicables sont</w:t>
      </w:r>
      <w:r>
        <w:rPr>
          <w:rFonts w:ascii="Arial" w:hAnsi="Arial" w:cs="Arial"/>
          <w:sz w:val="22"/>
          <w:szCs w:val="22"/>
          <w:lang w:val="fr-CH"/>
        </w:rPr>
        <w:t> </w:t>
      </w:r>
      <w:r w:rsidRPr="00B25EF6">
        <w:rPr>
          <w:rFonts w:ascii="Arial" w:hAnsi="Arial" w:cs="Arial"/>
          <w:sz w:val="22"/>
          <w:szCs w:val="22"/>
          <w:lang w:val="fr-CH"/>
        </w:rPr>
        <w:t>:</w:t>
      </w:r>
    </w:p>
    <w:p w14:paraId="2B4152C7" w14:textId="33200720" w:rsidR="00B25EF6" w:rsidRPr="00B25EF6" w:rsidRDefault="00B25EF6" w:rsidP="00545E1D">
      <w:pPr>
        <w:tabs>
          <w:tab w:val="left" w:pos="567"/>
        </w:tabs>
        <w:spacing w:before="80" w:line="240" w:lineRule="auto"/>
        <w:ind w:left="567" w:hanging="357"/>
        <w:jc w:val="both"/>
        <w:rPr>
          <w:rFonts w:eastAsia="Times New Roman"/>
          <w:sz w:val="22"/>
          <w:lang w:val="fr-CH" w:eastAsia="de-DE"/>
        </w:rPr>
      </w:pPr>
      <w:r w:rsidRPr="00B25EF6">
        <w:rPr>
          <w:rFonts w:eastAsia="Times New Roman"/>
          <w:sz w:val="22"/>
          <w:lang w:val="fr-CH" w:eastAsia="de-DE"/>
        </w:rPr>
        <w:t>a.</w:t>
      </w:r>
      <w:r w:rsidRPr="00B25EF6">
        <w:rPr>
          <w:rFonts w:ascii="Times New Roman" w:eastAsia="Times New Roman" w:hAnsi="Times New Roman" w:cs="Times New Roman"/>
          <w:sz w:val="18"/>
          <w:szCs w:val="20"/>
          <w:lang w:val="fr-CH" w:eastAsia="de-DE"/>
        </w:rPr>
        <w:tab/>
      </w:r>
      <w:r w:rsidRPr="00B25EF6">
        <w:rPr>
          <w:rFonts w:eastAsia="Times New Roman"/>
          <w:sz w:val="22"/>
          <w:lang w:val="fr-CH" w:eastAsia="de-DE"/>
        </w:rPr>
        <w:t>la loi fédérale du 20</w:t>
      </w:r>
      <w:r>
        <w:rPr>
          <w:rFonts w:eastAsia="Times New Roman"/>
          <w:sz w:val="22"/>
          <w:lang w:val="fr-CH" w:eastAsia="de-DE"/>
        </w:rPr>
        <w:t> </w:t>
      </w:r>
      <w:r w:rsidRPr="00B25EF6">
        <w:rPr>
          <w:rFonts w:eastAsia="Times New Roman"/>
          <w:sz w:val="22"/>
          <w:lang w:val="fr-CH" w:eastAsia="de-DE"/>
        </w:rPr>
        <w:t>décembre</w:t>
      </w:r>
      <w:r>
        <w:rPr>
          <w:rFonts w:eastAsia="Times New Roman"/>
          <w:sz w:val="22"/>
          <w:lang w:val="fr-CH" w:eastAsia="de-DE"/>
        </w:rPr>
        <w:t> </w:t>
      </w:r>
      <w:r w:rsidRPr="00B25EF6">
        <w:rPr>
          <w:rFonts w:eastAsia="Times New Roman"/>
          <w:sz w:val="22"/>
          <w:lang w:val="fr-CH" w:eastAsia="de-DE"/>
        </w:rPr>
        <w:t>1957 sur les chemins de fer (LCdF</w:t>
      </w:r>
      <w:r>
        <w:rPr>
          <w:rFonts w:eastAsia="Times New Roman"/>
          <w:sz w:val="22"/>
          <w:lang w:val="fr-CH" w:eastAsia="de-DE"/>
        </w:rPr>
        <w:t> </w:t>
      </w:r>
      <w:r w:rsidRPr="00B25EF6">
        <w:rPr>
          <w:rFonts w:eastAsia="Times New Roman"/>
          <w:sz w:val="22"/>
          <w:lang w:val="fr-CH" w:eastAsia="de-DE"/>
        </w:rPr>
        <w:t>; RS </w:t>
      </w:r>
      <w:r w:rsidRPr="00B25EF6">
        <w:rPr>
          <w:rFonts w:eastAsia="Times New Roman"/>
          <w:i/>
          <w:iCs/>
          <w:sz w:val="22"/>
          <w:lang w:val="fr-CH" w:eastAsia="de-DE"/>
        </w:rPr>
        <w:t>742.101</w:t>
      </w:r>
      <w:r w:rsidRPr="00B25EF6">
        <w:rPr>
          <w:rFonts w:eastAsia="Times New Roman"/>
          <w:sz w:val="22"/>
          <w:lang w:val="fr-CH" w:eastAsia="de-DE"/>
        </w:rPr>
        <w:t>) ainsi que, à titre subsidiaire, la loi du 20</w:t>
      </w:r>
      <w:r>
        <w:rPr>
          <w:rFonts w:eastAsia="Times New Roman"/>
          <w:sz w:val="22"/>
          <w:lang w:val="fr-CH" w:eastAsia="de-DE"/>
        </w:rPr>
        <w:t> </w:t>
      </w:r>
      <w:r w:rsidRPr="00B25EF6">
        <w:rPr>
          <w:rFonts w:eastAsia="Times New Roman"/>
          <w:sz w:val="22"/>
          <w:lang w:val="fr-CH" w:eastAsia="de-DE"/>
        </w:rPr>
        <w:t>mars</w:t>
      </w:r>
      <w:r>
        <w:rPr>
          <w:rFonts w:eastAsia="Times New Roman"/>
          <w:sz w:val="22"/>
          <w:lang w:val="fr-CH" w:eastAsia="de-DE"/>
        </w:rPr>
        <w:t> </w:t>
      </w:r>
      <w:r w:rsidRPr="00B25EF6">
        <w:rPr>
          <w:rFonts w:eastAsia="Times New Roman"/>
          <w:sz w:val="22"/>
          <w:lang w:val="fr-CH" w:eastAsia="de-DE"/>
        </w:rPr>
        <w:t>2009 sur le transport de voyageurs (LTV</w:t>
      </w:r>
      <w:r>
        <w:rPr>
          <w:rFonts w:eastAsia="Times New Roman"/>
          <w:sz w:val="22"/>
          <w:lang w:val="fr-CH" w:eastAsia="de-DE"/>
        </w:rPr>
        <w:t> </w:t>
      </w:r>
      <w:r w:rsidRPr="00B25EF6">
        <w:rPr>
          <w:rFonts w:eastAsia="Times New Roman"/>
          <w:sz w:val="22"/>
          <w:lang w:val="fr-CH" w:eastAsia="de-DE"/>
        </w:rPr>
        <w:t>; RS</w:t>
      </w:r>
      <w:r>
        <w:rPr>
          <w:rFonts w:eastAsia="Times New Roman"/>
          <w:sz w:val="22"/>
          <w:lang w:val="fr-CH" w:eastAsia="de-DE"/>
        </w:rPr>
        <w:t> </w:t>
      </w:r>
      <w:r w:rsidRPr="00B25EF6">
        <w:rPr>
          <w:rFonts w:eastAsia="Times New Roman"/>
          <w:i/>
          <w:iCs/>
          <w:sz w:val="22"/>
          <w:lang w:val="fr-CH" w:eastAsia="de-DE"/>
        </w:rPr>
        <w:t>745.1</w:t>
      </w:r>
      <w:r w:rsidRPr="00B25EF6">
        <w:rPr>
          <w:rFonts w:eastAsia="Times New Roman"/>
          <w:sz w:val="22"/>
          <w:lang w:val="fr-CH" w:eastAsia="de-DE"/>
        </w:rPr>
        <w:t>) et le code des obligations (CO</w:t>
      </w:r>
      <w:r>
        <w:rPr>
          <w:rFonts w:eastAsia="Times New Roman"/>
          <w:sz w:val="22"/>
          <w:lang w:val="fr-CH" w:eastAsia="de-DE"/>
        </w:rPr>
        <w:t> </w:t>
      </w:r>
      <w:r w:rsidRPr="00B25EF6">
        <w:rPr>
          <w:rFonts w:eastAsia="Times New Roman"/>
          <w:sz w:val="22"/>
          <w:lang w:val="fr-CH" w:eastAsia="de-DE"/>
        </w:rPr>
        <w:t>; RS</w:t>
      </w:r>
      <w:r>
        <w:rPr>
          <w:rFonts w:eastAsia="Times New Roman"/>
          <w:sz w:val="22"/>
          <w:lang w:val="fr-CH" w:eastAsia="de-DE"/>
        </w:rPr>
        <w:t> </w:t>
      </w:r>
      <w:r w:rsidRPr="00B25EF6">
        <w:rPr>
          <w:rFonts w:eastAsia="Times New Roman"/>
          <w:i/>
          <w:iCs/>
          <w:sz w:val="22"/>
          <w:lang w:val="fr-CH" w:eastAsia="de-DE"/>
        </w:rPr>
        <w:t>220</w:t>
      </w:r>
      <w:r w:rsidRPr="00B25EF6">
        <w:rPr>
          <w:rFonts w:eastAsia="Times New Roman"/>
          <w:sz w:val="22"/>
          <w:lang w:val="fr-CH" w:eastAsia="de-DE"/>
        </w:rPr>
        <w:t>)</w:t>
      </w:r>
      <w:r>
        <w:rPr>
          <w:rFonts w:eastAsia="Times New Roman"/>
          <w:sz w:val="22"/>
          <w:lang w:val="fr-CH" w:eastAsia="de-DE"/>
        </w:rPr>
        <w:t> </w:t>
      </w:r>
      <w:r w:rsidRPr="00B25EF6">
        <w:rPr>
          <w:rFonts w:eastAsia="Times New Roman"/>
          <w:sz w:val="22"/>
          <w:lang w:val="fr-CH" w:eastAsia="de-DE"/>
        </w:rPr>
        <w:t>;</w:t>
      </w:r>
    </w:p>
    <w:p w14:paraId="04117696" w14:textId="543961A6" w:rsidR="00B25EF6" w:rsidRPr="00B25EF6" w:rsidRDefault="00B25EF6" w:rsidP="00545E1D">
      <w:pPr>
        <w:tabs>
          <w:tab w:val="left" w:pos="567"/>
        </w:tabs>
        <w:spacing w:before="80" w:line="240" w:lineRule="auto"/>
        <w:ind w:left="567" w:hanging="357"/>
        <w:jc w:val="both"/>
        <w:rPr>
          <w:rFonts w:eastAsia="Times New Roman"/>
          <w:sz w:val="22"/>
          <w:lang w:val="fr-CH" w:eastAsia="de-DE"/>
        </w:rPr>
      </w:pPr>
      <w:r w:rsidRPr="00B25EF6">
        <w:rPr>
          <w:rFonts w:eastAsia="Times New Roman"/>
          <w:sz w:val="22"/>
          <w:lang w:val="fr-CH" w:eastAsia="de-DE"/>
        </w:rPr>
        <w:t>b.</w:t>
      </w:r>
      <w:r w:rsidRPr="00B25EF6">
        <w:rPr>
          <w:rFonts w:eastAsia="Times New Roman"/>
          <w:sz w:val="22"/>
          <w:lang w:val="fr-CH" w:eastAsia="de-DE"/>
        </w:rPr>
        <w:tab/>
        <w:t>la loi du 21</w:t>
      </w:r>
      <w:r>
        <w:rPr>
          <w:rFonts w:eastAsia="Times New Roman"/>
          <w:sz w:val="22"/>
          <w:lang w:val="fr-CH" w:eastAsia="de-DE"/>
        </w:rPr>
        <w:t> </w:t>
      </w:r>
      <w:r w:rsidRPr="00B25EF6">
        <w:rPr>
          <w:rFonts w:eastAsia="Times New Roman"/>
          <w:sz w:val="22"/>
          <w:lang w:val="fr-CH" w:eastAsia="de-DE"/>
        </w:rPr>
        <w:t>juin</w:t>
      </w:r>
      <w:r>
        <w:rPr>
          <w:rFonts w:eastAsia="Times New Roman"/>
          <w:sz w:val="22"/>
          <w:lang w:val="fr-CH" w:eastAsia="de-DE"/>
        </w:rPr>
        <w:t> </w:t>
      </w:r>
      <w:r w:rsidRPr="00B25EF6">
        <w:rPr>
          <w:rFonts w:eastAsia="Times New Roman"/>
          <w:sz w:val="22"/>
          <w:lang w:val="fr-CH" w:eastAsia="de-DE"/>
        </w:rPr>
        <w:t>2013 sur le fonds d’infrastructure ferroviaire (LFIF</w:t>
      </w:r>
      <w:r>
        <w:rPr>
          <w:rFonts w:eastAsia="Times New Roman"/>
          <w:sz w:val="22"/>
          <w:lang w:val="fr-CH" w:eastAsia="de-DE"/>
        </w:rPr>
        <w:t> </w:t>
      </w:r>
      <w:r w:rsidRPr="00B25EF6">
        <w:rPr>
          <w:rFonts w:eastAsia="Times New Roman"/>
          <w:sz w:val="22"/>
          <w:lang w:val="fr-CH" w:eastAsia="de-DE"/>
        </w:rPr>
        <w:t>; RS </w:t>
      </w:r>
      <w:r w:rsidRPr="00B25EF6">
        <w:rPr>
          <w:rFonts w:eastAsia="Times New Roman"/>
          <w:i/>
          <w:iCs/>
          <w:sz w:val="22"/>
          <w:lang w:val="fr-CH" w:eastAsia="de-DE"/>
        </w:rPr>
        <w:t>742.140</w:t>
      </w:r>
      <w:r w:rsidRPr="00B25EF6">
        <w:rPr>
          <w:rFonts w:eastAsia="Times New Roman"/>
          <w:sz w:val="22"/>
          <w:lang w:val="fr-CH" w:eastAsia="de-DE"/>
        </w:rPr>
        <w:t>)</w:t>
      </w:r>
      <w:r>
        <w:rPr>
          <w:rFonts w:eastAsia="Times New Roman"/>
          <w:sz w:val="22"/>
          <w:lang w:val="fr-CH" w:eastAsia="de-DE"/>
        </w:rPr>
        <w:t> </w:t>
      </w:r>
      <w:r w:rsidRPr="00B25EF6">
        <w:rPr>
          <w:rFonts w:eastAsia="Times New Roman"/>
          <w:sz w:val="22"/>
          <w:lang w:val="fr-CH" w:eastAsia="de-DE"/>
        </w:rPr>
        <w:t>;</w:t>
      </w:r>
    </w:p>
    <w:p w14:paraId="2CFF0740" w14:textId="71631F0A" w:rsidR="00B25EF6" w:rsidRDefault="00B25EF6" w:rsidP="00545E1D">
      <w:pPr>
        <w:tabs>
          <w:tab w:val="left" w:pos="567"/>
        </w:tabs>
        <w:spacing w:before="80" w:line="240" w:lineRule="auto"/>
        <w:ind w:left="567" w:hanging="357"/>
        <w:jc w:val="both"/>
        <w:rPr>
          <w:rFonts w:eastAsia="Times New Roman"/>
          <w:sz w:val="22"/>
          <w:lang w:val="fr-CH" w:eastAsia="de-DE"/>
        </w:rPr>
      </w:pPr>
      <w:r w:rsidRPr="00B25EF6">
        <w:rPr>
          <w:rFonts w:eastAsia="Times New Roman"/>
          <w:sz w:val="22"/>
          <w:lang w:val="fr-CH" w:eastAsia="de-DE"/>
        </w:rPr>
        <w:t>c.</w:t>
      </w:r>
      <w:r w:rsidRPr="00B25EF6">
        <w:rPr>
          <w:rFonts w:eastAsia="Times New Roman"/>
          <w:sz w:val="22"/>
          <w:lang w:val="fr-CH" w:eastAsia="de-DE"/>
        </w:rPr>
        <w:tab/>
        <w:t>l’ordonnance du 14</w:t>
      </w:r>
      <w:r>
        <w:rPr>
          <w:rFonts w:eastAsia="Times New Roman"/>
          <w:sz w:val="22"/>
          <w:lang w:val="fr-CH" w:eastAsia="de-DE"/>
        </w:rPr>
        <w:t> </w:t>
      </w:r>
      <w:r w:rsidRPr="00B25EF6">
        <w:rPr>
          <w:rFonts w:eastAsia="Times New Roman"/>
          <w:sz w:val="22"/>
          <w:lang w:val="fr-CH" w:eastAsia="de-DE"/>
        </w:rPr>
        <w:t>octobre</w:t>
      </w:r>
      <w:r>
        <w:rPr>
          <w:rFonts w:eastAsia="Times New Roman"/>
          <w:sz w:val="22"/>
          <w:lang w:val="fr-CH" w:eastAsia="de-DE"/>
        </w:rPr>
        <w:t> </w:t>
      </w:r>
      <w:r w:rsidRPr="00B25EF6">
        <w:rPr>
          <w:rFonts w:eastAsia="Times New Roman"/>
          <w:sz w:val="22"/>
          <w:lang w:val="fr-CH" w:eastAsia="de-DE"/>
        </w:rPr>
        <w:t>2015 sur les concessions, la planification et le financement de l’infrastructure ferroviaire (OCPF</w:t>
      </w:r>
      <w:r>
        <w:rPr>
          <w:rFonts w:eastAsia="Times New Roman"/>
          <w:sz w:val="22"/>
          <w:lang w:val="fr-CH" w:eastAsia="de-DE"/>
        </w:rPr>
        <w:t> </w:t>
      </w:r>
      <w:r w:rsidRPr="00B25EF6">
        <w:rPr>
          <w:rFonts w:eastAsia="Times New Roman"/>
          <w:sz w:val="22"/>
          <w:lang w:val="fr-CH" w:eastAsia="de-DE"/>
        </w:rPr>
        <w:t>; RS</w:t>
      </w:r>
      <w:r w:rsidR="00545E1D">
        <w:rPr>
          <w:rFonts w:eastAsia="Times New Roman"/>
          <w:sz w:val="22"/>
          <w:lang w:val="fr-CH" w:eastAsia="de-DE"/>
        </w:rPr>
        <w:t> </w:t>
      </w:r>
      <w:r w:rsidRPr="00B25EF6">
        <w:rPr>
          <w:rFonts w:eastAsia="Times New Roman"/>
          <w:i/>
          <w:iCs/>
          <w:sz w:val="22"/>
          <w:lang w:val="fr-CH" w:eastAsia="de-DE"/>
        </w:rPr>
        <w:t>742.120</w:t>
      </w:r>
      <w:r w:rsidRPr="00B25EF6">
        <w:rPr>
          <w:rFonts w:eastAsia="Times New Roman"/>
          <w:sz w:val="22"/>
          <w:lang w:val="fr-CH" w:eastAsia="de-DE"/>
        </w:rPr>
        <w:t>)</w:t>
      </w:r>
      <w:r w:rsidR="00545E1D">
        <w:rPr>
          <w:rFonts w:eastAsia="Times New Roman"/>
          <w:sz w:val="22"/>
          <w:lang w:val="fr-CH" w:eastAsia="de-DE"/>
        </w:rPr>
        <w:t> </w:t>
      </w:r>
      <w:r w:rsidRPr="00B25EF6">
        <w:rPr>
          <w:rFonts w:eastAsia="Times New Roman"/>
          <w:sz w:val="22"/>
          <w:lang w:val="fr-CH" w:eastAsia="de-DE"/>
        </w:rPr>
        <w:t>;</w:t>
      </w:r>
    </w:p>
    <w:p w14:paraId="02AAA804" w14:textId="27443A9D" w:rsidR="00545E1D" w:rsidRPr="00545E1D" w:rsidRDefault="00545E1D" w:rsidP="00545E1D">
      <w:pPr>
        <w:pStyle w:val="Listenabsatz"/>
        <w:numPr>
          <w:ilvl w:val="0"/>
          <w:numId w:val="9"/>
        </w:numPr>
        <w:tabs>
          <w:tab w:val="left" w:pos="567"/>
        </w:tabs>
        <w:spacing w:before="80" w:line="240" w:lineRule="auto"/>
        <w:ind w:left="567" w:hanging="425"/>
        <w:jc w:val="both"/>
        <w:rPr>
          <w:rFonts w:eastAsia="Times New Roman"/>
          <w:sz w:val="22"/>
          <w:lang w:val="fr-CH" w:eastAsia="de-DE"/>
        </w:rPr>
      </w:pPr>
      <w:proofErr w:type="gramStart"/>
      <w:r w:rsidRPr="00545E1D">
        <w:rPr>
          <w:rFonts w:eastAsia="Times New Roman"/>
          <w:sz w:val="22"/>
          <w:lang w:val="fr-CH" w:eastAsia="de-DE"/>
        </w:rPr>
        <w:lastRenderedPageBreak/>
        <w:t>l’ordonnance</w:t>
      </w:r>
      <w:proofErr w:type="gramEnd"/>
      <w:r w:rsidRPr="00545E1D">
        <w:rPr>
          <w:rFonts w:eastAsia="Times New Roman"/>
          <w:sz w:val="22"/>
          <w:lang w:val="fr-CH" w:eastAsia="de-DE"/>
        </w:rPr>
        <w:t xml:space="preserve"> du 11 novembre 2009 sur l’indemnisation du trafic régional de voyageurs (OITRV ; RS </w:t>
      </w:r>
      <w:r w:rsidRPr="00545E1D">
        <w:rPr>
          <w:rFonts w:eastAsia="Times New Roman"/>
          <w:i/>
          <w:iCs/>
          <w:sz w:val="22"/>
          <w:lang w:val="fr-CH" w:eastAsia="de-DE"/>
        </w:rPr>
        <w:t>745.16</w:t>
      </w:r>
      <w:r w:rsidRPr="00545E1D">
        <w:rPr>
          <w:rFonts w:eastAsia="Times New Roman"/>
          <w:sz w:val="22"/>
          <w:lang w:val="fr-CH" w:eastAsia="de-DE"/>
        </w:rPr>
        <w:t>) ;</w:t>
      </w:r>
    </w:p>
    <w:p w14:paraId="4EC5E2EA" w14:textId="744A6323" w:rsidR="00B25EF6" w:rsidRPr="00545E1D" w:rsidRDefault="00545E1D" w:rsidP="00545E1D">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e</w:t>
      </w:r>
      <w:r w:rsidR="00B25EF6" w:rsidRPr="00B25EF6">
        <w:rPr>
          <w:rFonts w:eastAsia="Times New Roman"/>
          <w:sz w:val="22"/>
          <w:lang w:val="fr-CH" w:eastAsia="de-DE"/>
        </w:rPr>
        <w:t>.</w:t>
      </w:r>
      <w:r w:rsidR="00B25EF6" w:rsidRPr="00B25EF6">
        <w:rPr>
          <w:rFonts w:eastAsia="Times New Roman"/>
          <w:sz w:val="22"/>
          <w:lang w:val="fr-CH" w:eastAsia="de-DE"/>
        </w:rPr>
        <w:tab/>
      </w:r>
      <w:r w:rsidR="00B25EF6" w:rsidRPr="00545E1D">
        <w:rPr>
          <w:rFonts w:eastAsia="Times New Roman"/>
          <w:sz w:val="22"/>
          <w:lang w:val="fr-CH" w:eastAsia="de-DE"/>
        </w:rPr>
        <w:t>l’ordonnance du 25</w:t>
      </w:r>
      <w:r>
        <w:rPr>
          <w:rFonts w:eastAsia="Times New Roman"/>
          <w:sz w:val="22"/>
          <w:lang w:val="fr-CH" w:eastAsia="de-DE"/>
        </w:rPr>
        <w:t> </w:t>
      </w:r>
      <w:r w:rsidR="00B25EF6" w:rsidRPr="00545E1D">
        <w:rPr>
          <w:rFonts w:eastAsia="Times New Roman"/>
          <w:sz w:val="22"/>
          <w:lang w:val="fr-CH" w:eastAsia="de-DE"/>
        </w:rPr>
        <w:t>novembre</w:t>
      </w:r>
      <w:r>
        <w:rPr>
          <w:rFonts w:eastAsia="Times New Roman"/>
          <w:sz w:val="22"/>
          <w:lang w:val="fr-CH" w:eastAsia="de-DE"/>
        </w:rPr>
        <w:t> </w:t>
      </w:r>
      <w:r w:rsidR="00B25EF6" w:rsidRPr="00545E1D">
        <w:rPr>
          <w:rFonts w:eastAsia="Times New Roman"/>
          <w:sz w:val="22"/>
          <w:lang w:val="fr-CH" w:eastAsia="de-DE"/>
        </w:rPr>
        <w:t>1998 sur l’accès au réseau ferroviaire (OARF</w:t>
      </w:r>
      <w:r>
        <w:rPr>
          <w:rFonts w:eastAsia="Times New Roman"/>
          <w:sz w:val="22"/>
          <w:lang w:val="fr-CH" w:eastAsia="de-DE"/>
        </w:rPr>
        <w:t> </w:t>
      </w:r>
      <w:r w:rsidR="00B25EF6" w:rsidRPr="00545E1D">
        <w:rPr>
          <w:rFonts w:eastAsia="Times New Roman"/>
          <w:sz w:val="22"/>
          <w:lang w:val="fr-CH" w:eastAsia="de-DE"/>
        </w:rPr>
        <w:t>; RS</w:t>
      </w:r>
      <w:r>
        <w:rPr>
          <w:rFonts w:eastAsia="Times New Roman"/>
          <w:sz w:val="22"/>
          <w:lang w:val="fr-CH" w:eastAsia="de-DE"/>
        </w:rPr>
        <w:t> </w:t>
      </w:r>
      <w:r w:rsidR="00B25EF6" w:rsidRPr="00545E1D">
        <w:rPr>
          <w:rFonts w:eastAsia="Times New Roman"/>
          <w:i/>
          <w:iCs/>
          <w:sz w:val="22"/>
          <w:lang w:val="fr-CH" w:eastAsia="de-DE"/>
        </w:rPr>
        <w:t>742.122</w:t>
      </w:r>
      <w:r w:rsidR="00B25EF6" w:rsidRPr="00545E1D">
        <w:rPr>
          <w:rFonts w:eastAsia="Times New Roman"/>
          <w:sz w:val="22"/>
          <w:lang w:val="fr-CH" w:eastAsia="de-DE"/>
        </w:rPr>
        <w:t>)</w:t>
      </w:r>
      <w:r>
        <w:rPr>
          <w:rFonts w:eastAsia="Times New Roman"/>
          <w:sz w:val="22"/>
          <w:lang w:val="fr-CH" w:eastAsia="de-DE"/>
        </w:rPr>
        <w:t> </w:t>
      </w:r>
      <w:r w:rsidR="00B25EF6" w:rsidRPr="00545E1D">
        <w:rPr>
          <w:rFonts w:eastAsia="Times New Roman"/>
          <w:sz w:val="22"/>
          <w:lang w:val="fr-CH" w:eastAsia="de-DE"/>
        </w:rPr>
        <w:t>;</w:t>
      </w:r>
    </w:p>
    <w:p w14:paraId="189EFB7C" w14:textId="327C306B" w:rsidR="00B25EF6" w:rsidRPr="00B25EF6" w:rsidRDefault="00545E1D"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f</w:t>
      </w:r>
      <w:r w:rsidR="00B25EF6" w:rsidRPr="00B25EF6">
        <w:rPr>
          <w:rFonts w:eastAsia="Times New Roman"/>
          <w:sz w:val="22"/>
          <w:lang w:val="fr-CH" w:eastAsia="de-DE"/>
        </w:rPr>
        <w:t>.</w:t>
      </w:r>
      <w:r w:rsidR="00B25EF6" w:rsidRPr="00B25EF6">
        <w:rPr>
          <w:rFonts w:eastAsia="Times New Roman"/>
          <w:sz w:val="22"/>
          <w:lang w:val="fr-CH" w:eastAsia="de-DE"/>
        </w:rPr>
        <w:tab/>
        <w:t>l’ordonnance de l’OFT du 14</w:t>
      </w:r>
      <w:r>
        <w:rPr>
          <w:rFonts w:eastAsia="Times New Roman"/>
          <w:sz w:val="22"/>
          <w:lang w:val="fr-CH" w:eastAsia="de-DE"/>
        </w:rPr>
        <w:t> </w:t>
      </w:r>
      <w:r w:rsidR="00B25EF6" w:rsidRPr="00B25EF6">
        <w:rPr>
          <w:rFonts w:eastAsia="Times New Roman"/>
          <w:sz w:val="22"/>
          <w:lang w:val="fr-CH" w:eastAsia="de-DE"/>
        </w:rPr>
        <w:t>mai</w:t>
      </w:r>
      <w:r>
        <w:rPr>
          <w:rFonts w:eastAsia="Times New Roman"/>
          <w:sz w:val="22"/>
          <w:lang w:val="fr-CH" w:eastAsia="de-DE"/>
        </w:rPr>
        <w:t> </w:t>
      </w:r>
      <w:r w:rsidR="00B25EF6" w:rsidRPr="00B25EF6">
        <w:rPr>
          <w:rFonts w:eastAsia="Times New Roman"/>
          <w:sz w:val="22"/>
          <w:lang w:val="fr-CH" w:eastAsia="de-DE"/>
        </w:rPr>
        <w:t xml:space="preserve">2012 relative à l’ordonnance sur l’accès au réseau </w:t>
      </w:r>
      <w:r>
        <w:rPr>
          <w:rFonts w:eastAsia="Times New Roman"/>
          <w:sz w:val="22"/>
          <w:lang w:val="fr-CH" w:eastAsia="de-DE"/>
        </w:rPr>
        <w:t>f</w:t>
      </w:r>
      <w:r w:rsidR="00B25EF6" w:rsidRPr="00B25EF6">
        <w:rPr>
          <w:rFonts w:eastAsia="Times New Roman"/>
          <w:sz w:val="22"/>
          <w:lang w:val="fr-CH" w:eastAsia="de-DE"/>
        </w:rPr>
        <w:t>erroviaire (OARF-</w:t>
      </w:r>
      <w:r>
        <w:rPr>
          <w:rFonts w:eastAsia="Times New Roman"/>
          <w:sz w:val="22"/>
          <w:lang w:val="fr-CH" w:eastAsia="de-DE"/>
        </w:rPr>
        <w:t>OFT </w:t>
      </w:r>
      <w:r w:rsidR="00B25EF6" w:rsidRPr="00B25EF6">
        <w:rPr>
          <w:rFonts w:eastAsia="Times New Roman"/>
          <w:sz w:val="22"/>
          <w:lang w:val="fr-CH" w:eastAsia="de-DE"/>
        </w:rPr>
        <w:t>; RS</w:t>
      </w:r>
      <w:r>
        <w:rPr>
          <w:rFonts w:eastAsia="Times New Roman"/>
          <w:sz w:val="22"/>
          <w:lang w:val="fr-CH" w:eastAsia="de-DE"/>
        </w:rPr>
        <w:t> </w:t>
      </w:r>
      <w:r w:rsidR="00B25EF6" w:rsidRPr="00B25EF6">
        <w:rPr>
          <w:rFonts w:eastAsia="Times New Roman"/>
          <w:i/>
          <w:iCs/>
          <w:sz w:val="22"/>
          <w:lang w:val="fr-CH" w:eastAsia="de-DE"/>
        </w:rPr>
        <w:t>742.122.4</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26227AAC" w14:textId="34C87A11" w:rsidR="00B25EF6" w:rsidRDefault="00545E1D"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g</w:t>
      </w:r>
      <w:r w:rsidR="00B25EF6" w:rsidRPr="00B25EF6">
        <w:rPr>
          <w:rFonts w:eastAsia="Times New Roman"/>
          <w:sz w:val="22"/>
          <w:lang w:val="fr-CH" w:eastAsia="de-DE"/>
        </w:rPr>
        <w:t>.</w:t>
      </w:r>
      <w:r w:rsidR="00B25EF6" w:rsidRPr="00B25EF6">
        <w:rPr>
          <w:rFonts w:eastAsia="Times New Roman"/>
          <w:sz w:val="22"/>
          <w:lang w:val="fr-CH" w:eastAsia="de-DE"/>
        </w:rPr>
        <w:tab/>
        <w:t>la loi du 5</w:t>
      </w:r>
      <w:r>
        <w:rPr>
          <w:rFonts w:eastAsia="Times New Roman"/>
          <w:sz w:val="22"/>
          <w:lang w:val="fr-CH" w:eastAsia="de-DE"/>
        </w:rPr>
        <w:t> </w:t>
      </w:r>
      <w:r w:rsidR="00B25EF6" w:rsidRPr="00B25EF6">
        <w:rPr>
          <w:rFonts w:eastAsia="Times New Roman"/>
          <w:sz w:val="22"/>
          <w:lang w:val="fr-CH" w:eastAsia="de-DE"/>
        </w:rPr>
        <w:t>octobre</w:t>
      </w:r>
      <w:r>
        <w:rPr>
          <w:rFonts w:eastAsia="Times New Roman"/>
          <w:sz w:val="22"/>
          <w:lang w:val="fr-CH" w:eastAsia="de-DE"/>
        </w:rPr>
        <w:t> </w:t>
      </w:r>
      <w:r w:rsidR="00B25EF6" w:rsidRPr="00B25EF6">
        <w:rPr>
          <w:rFonts w:eastAsia="Times New Roman"/>
          <w:sz w:val="22"/>
          <w:lang w:val="fr-CH" w:eastAsia="de-DE"/>
        </w:rPr>
        <w:t>1990 sur les subventions (LSu</w:t>
      </w:r>
      <w:r>
        <w:rPr>
          <w:rFonts w:eastAsia="Times New Roman"/>
          <w:sz w:val="22"/>
          <w:lang w:val="fr-CH" w:eastAsia="de-DE"/>
        </w:rPr>
        <w:t> </w:t>
      </w:r>
      <w:r w:rsidR="00B25EF6" w:rsidRPr="00B25EF6">
        <w:rPr>
          <w:rFonts w:eastAsia="Times New Roman"/>
          <w:sz w:val="22"/>
          <w:lang w:val="fr-CH" w:eastAsia="de-DE"/>
        </w:rPr>
        <w:t>; RS</w:t>
      </w:r>
      <w:r>
        <w:rPr>
          <w:rFonts w:eastAsia="Times New Roman"/>
          <w:sz w:val="22"/>
          <w:lang w:val="fr-CH" w:eastAsia="de-DE"/>
        </w:rPr>
        <w:t> </w:t>
      </w:r>
      <w:r w:rsidR="00B25EF6" w:rsidRPr="00B25EF6">
        <w:rPr>
          <w:rFonts w:eastAsia="Times New Roman"/>
          <w:i/>
          <w:iCs/>
          <w:sz w:val="22"/>
          <w:lang w:val="fr-CH" w:eastAsia="de-DE"/>
        </w:rPr>
        <w:t>616.1</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09FFB6BF" w14:textId="655CF7DB" w:rsidR="00545E1D" w:rsidRPr="00B25EF6" w:rsidRDefault="00545E1D"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h.</w:t>
      </w:r>
      <w:r>
        <w:rPr>
          <w:rFonts w:eastAsia="Times New Roman"/>
          <w:sz w:val="22"/>
          <w:lang w:val="fr-CH" w:eastAsia="de-DE"/>
        </w:rPr>
        <w:tab/>
        <w:t>la l</w:t>
      </w:r>
      <w:r w:rsidRPr="00545E1D">
        <w:rPr>
          <w:rFonts w:eastAsia="Times New Roman"/>
          <w:sz w:val="22"/>
          <w:lang w:val="fr-CH" w:eastAsia="de-DE"/>
        </w:rPr>
        <w:t xml:space="preserve">oi </w:t>
      </w:r>
      <w:r>
        <w:rPr>
          <w:rFonts w:eastAsia="Times New Roman"/>
          <w:sz w:val="22"/>
          <w:lang w:val="fr-CH" w:eastAsia="de-DE"/>
        </w:rPr>
        <w:t xml:space="preserve">du 7 octobre 2005 </w:t>
      </w:r>
      <w:r w:rsidRPr="00545E1D">
        <w:rPr>
          <w:rFonts w:eastAsia="Times New Roman"/>
          <w:sz w:val="22"/>
          <w:lang w:val="fr-CH" w:eastAsia="de-DE"/>
        </w:rPr>
        <w:t xml:space="preserve">sur les finances </w:t>
      </w:r>
      <w:r>
        <w:rPr>
          <w:rFonts w:eastAsia="Times New Roman"/>
          <w:sz w:val="22"/>
          <w:lang w:val="fr-CH" w:eastAsia="de-DE"/>
        </w:rPr>
        <w:t>(</w:t>
      </w:r>
      <w:r w:rsidRPr="00545E1D">
        <w:rPr>
          <w:rFonts w:eastAsia="Times New Roman"/>
          <w:sz w:val="22"/>
          <w:lang w:val="fr-CH" w:eastAsia="de-DE"/>
        </w:rPr>
        <w:t>LFC</w:t>
      </w:r>
      <w:r>
        <w:rPr>
          <w:rFonts w:eastAsia="Times New Roman"/>
          <w:sz w:val="22"/>
          <w:lang w:val="fr-CH" w:eastAsia="de-DE"/>
        </w:rPr>
        <w:t> ; RS </w:t>
      </w:r>
      <w:r w:rsidRPr="00545E1D">
        <w:rPr>
          <w:rFonts w:eastAsia="Times New Roman"/>
          <w:i/>
          <w:iCs/>
          <w:sz w:val="22"/>
          <w:lang w:val="fr-CH" w:eastAsia="de-DE"/>
        </w:rPr>
        <w:t>611.0</w:t>
      </w:r>
      <w:r w:rsidRPr="00545E1D">
        <w:rPr>
          <w:rFonts w:eastAsia="Times New Roman"/>
          <w:sz w:val="22"/>
          <w:lang w:val="fr-CH" w:eastAsia="de-DE"/>
        </w:rPr>
        <w:t>)</w:t>
      </w:r>
      <w:r>
        <w:rPr>
          <w:rFonts w:eastAsia="Times New Roman"/>
          <w:sz w:val="22"/>
          <w:lang w:val="fr-CH" w:eastAsia="de-DE"/>
        </w:rPr>
        <w:t> ;</w:t>
      </w:r>
    </w:p>
    <w:p w14:paraId="13C8DBEC" w14:textId="157DD08B" w:rsidR="00B25EF6" w:rsidRDefault="00545E1D"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i</w:t>
      </w:r>
      <w:r w:rsidR="00B25EF6" w:rsidRPr="00B25EF6">
        <w:rPr>
          <w:rFonts w:eastAsia="Times New Roman"/>
          <w:sz w:val="22"/>
          <w:lang w:val="fr-CH" w:eastAsia="de-DE"/>
        </w:rPr>
        <w:t>.</w:t>
      </w:r>
      <w:r w:rsidR="00B25EF6" w:rsidRPr="00B25EF6">
        <w:rPr>
          <w:rFonts w:eastAsia="Times New Roman"/>
          <w:sz w:val="22"/>
          <w:lang w:val="fr-CH" w:eastAsia="de-DE"/>
        </w:rPr>
        <w:tab/>
        <w:t>la loi du 25</w:t>
      </w:r>
      <w:r w:rsidR="00FE2CC7">
        <w:rPr>
          <w:rFonts w:eastAsia="Times New Roman"/>
          <w:sz w:val="22"/>
          <w:lang w:val="fr-CH" w:eastAsia="de-DE"/>
        </w:rPr>
        <w:t> </w:t>
      </w:r>
      <w:r w:rsidR="00B25EF6" w:rsidRPr="00B25EF6">
        <w:rPr>
          <w:rFonts w:eastAsia="Times New Roman"/>
          <w:sz w:val="22"/>
          <w:lang w:val="fr-CH" w:eastAsia="de-DE"/>
        </w:rPr>
        <w:t>septembre</w:t>
      </w:r>
      <w:r w:rsidR="00FE2CC7">
        <w:rPr>
          <w:rFonts w:eastAsia="Times New Roman"/>
          <w:sz w:val="22"/>
          <w:lang w:val="fr-CH" w:eastAsia="de-DE"/>
        </w:rPr>
        <w:t> </w:t>
      </w:r>
      <w:r w:rsidR="00B25EF6" w:rsidRPr="00B25EF6">
        <w:rPr>
          <w:rFonts w:eastAsia="Times New Roman"/>
          <w:sz w:val="22"/>
          <w:lang w:val="fr-CH" w:eastAsia="de-DE"/>
        </w:rPr>
        <w:t>2015 sur le transport de marchandises (LTM</w:t>
      </w:r>
      <w:r w:rsidR="00FE2CC7">
        <w:rPr>
          <w:rFonts w:eastAsia="Times New Roman"/>
          <w:sz w:val="22"/>
          <w:lang w:val="fr-CH" w:eastAsia="de-DE"/>
        </w:rPr>
        <w:t> </w:t>
      </w:r>
      <w:r w:rsidR="00B25EF6" w:rsidRPr="00B25EF6">
        <w:rPr>
          <w:rFonts w:eastAsia="Times New Roman"/>
          <w:sz w:val="22"/>
          <w:lang w:val="fr-CH" w:eastAsia="de-DE"/>
        </w:rPr>
        <w:t>; RS </w:t>
      </w:r>
      <w:r w:rsidR="00B25EF6" w:rsidRPr="00B25EF6">
        <w:rPr>
          <w:rFonts w:eastAsia="Times New Roman"/>
          <w:i/>
          <w:iCs/>
          <w:sz w:val="22"/>
          <w:lang w:val="fr-CH" w:eastAsia="de-DE"/>
        </w:rPr>
        <w:t>742.41</w:t>
      </w:r>
      <w:r w:rsidR="00B25EF6" w:rsidRPr="00B25EF6">
        <w:rPr>
          <w:rFonts w:eastAsia="Times New Roman"/>
          <w:sz w:val="22"/>
          <w:lang w:val="fr-CH" w:eastAsia="de-DE"/>
        </w:rPr>
        <w:t xml:space="preserve">, FF </w:t>
      </w:r>
      <w:r w:rsidR="00B25EF6" w:rsidRPr="00B25EF6">
        <w:rPr>
          <w:rFonts w:eastAsia="Times New Roman"/>
          <w:b/>
          <w:bCs/>
          <w:sz w:val="22"/>
          <w:lang w:val="fr-CH" w:eastAsia="de-DE"/>
        </w:rPr>
        <w:t>2015</w:t>
      </w:r>
      <w:r w:rsidR="00B25EF6" w:rsidRPr="00B25EF6">
        <w:rPr>
          <w:rFonts w:eastAsia="Times New Roman"/>
          <w:sz w:val="22"/>
          <w:lang w:val="fr-CH" w:eastAsia="de-DE"/>
        </w:rPr>
        <w:t xml:space="preserve"> 6665)</w:t>
      </w:r>
      <w:r w:rsidR="00FE2CC7">
        <w:rPr>
          <w:rFonts w:eastAsia="Times New Roman"/>
          <w:sz w:val="22"/>
          <w:lang w:val="fr-CH" w:eastAsia="de-DE"/>
        </w:rPr>
        <w:t> </w:t>
      </w:r>
      <w:r w:rsidR="00B25EF6" w:rsidRPr="00B25EF6">
        <w:rPr>
          <w:rFonts w:eastAsia="Times New Roman"/>
          <w:sz w:val="22"/>
          <w:lang w:val="fr-CH" w:eastAsia="de-DE"/>
        </w:rPr>
        <w:t>;</w:t>
      </w:r>
    </w:p>
    <w:p w14:paraId="16B614FA" w14:textId="6CB386FC" w:rsidR="00FE2CC7"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j.</w:t>
      </w:r>
      <w:r>
        <w:rPr>
          <w:rFonts w:eastAsia="Times New Roman"/>
          <w:sz w:val="22"/>
          <w:lang w:val="fr-CH" w:eastAsia="de-DE"/>
        </w:rPr>
        <w:tab/>
        <w:t>l’o</w:t>
      </w:r>
      <w:r w:rsidRPr="00FE2CC7">
        <w:rPr>
          <w:rFonts w:eastAsia="Times New Roman"/>
          <w:sz w:val="22"/>
          <w:lang w:val="fr-CH" w:eastAsia="de-DE"/>
        </w:rPr>
        <w:t xml:space="preserve">rdonnance </w:t>
      </w:r>
      <w:r>
        <w:rPr>
          <w:rFonts w:eastAsia="Times New Roman"/>
          <w:sz w:val="22"/>
          <w:lang w:val="fr-CH" w:eastAsia="de-DE"/>
        </w:rPr>
        <w:t xml:space="preserve">du 25 mai 2016 </w:t>
      </w:r>
      <w:r w:rsidRPr="00FE2CC7">
        <w:rPr>
          <w:rFonts w:eastAsia="Times New Roman"/>
          <w:sz w:val="22"/>
          <w:lang w:val="fr-CH" w:eastAsia="de-DE"/>
        </w:rPr>
        <w:t xml:space="preserve">sur le transport de marchandises </w:t>
      </w:r>
      <w:r>
        <w:rPr>
          <w:rFonts w:eastAsia="Times New Roman"/>
          <w:sz w:val="22"/>
          <w:lang w:val="fr-CH" w:eastAsia="de-DE"/>
        </w:rPr>
        <w:t>(</w:t>
      </w:r>
      <w:r w:rsidRPr="00FE2CC7">
        <w:rPr>
          <w:rFonts w:eastAsia="Times New Roman"/>
          <w:sz w:val="22"/>
          <w:lang w:val="fr-CH" w:eastAsia="de-DE"/>
        </w:rPr>
        <w:t>OTM</w:t>
      </w:r>
      <w:r>
        <w:rPr>
          <w:rFonts w:eastAsia="Times New Roman"/>
          <w:sz w:val="22"/>
          <w:lang w:val="fr-CH" w:eastAsia="de-DE"/>
        </w:rPr>
        <w:t> ; RS </w:t>
      </w:r>
      <w:r w:rsidRPr="00FE2CC7">
        <w:rPr>
          <w:rFonts w:eastAsia="Times New Roman"/>
          <w:i/>
          <w:iCs/>
          <w:sz w:val="22"/>
          <w:lang w:val="fr-CH" w:eastAsia="de-DE"/>
        </w:rPr>
        <w:t>742.411</w:t>
      </w:r>
      <w:r>
        <w:rPr>
          <w:rFonts w:eastAsia="Times New Roman"/>
          <w:sz w:val="22"/>
          <w:lang w:val="fr-CH" w:eastAsia="de-DE"/>
        </w:rPr>
        <w:t>) ;</w:t>
      </w:r>
    </w:p>
    <w:p w14:paraId="1BA9B27F" w14:textId="1E24E202"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k</w:t>
      </w:r>
      <w:r w:rsidR="00B25EF6" w:rsidRPr="00B25EF6">
        <w:rPr>
          <w:rFonts w:eastAsia="Times New Roman"/>
          <w:sz w:val="22"/>
          <w:lang w:val="fr-CH" w:eastAsia="de-DE"/>
        </w:rPr>
        <w:t>.</w:t>
      </w:r>
      <w:r w:rsidR="00B25EF6" w:rsidRPr="00B25EF6">
        <w:rPr>
          <w:rFonts w:eastAsia="Times New Roman"/>
          <w:sz w:val="22"/>
          <w:lang w:val="fr-CH" w:eastAsia="de-DE"/>
        </w:rPr>
        <w:tab/>
        <w:t>la loi fédérale du 21</w:t>
      </w:r>
      <w:r>
        <w:rPr>
          <w:rFonts w:eastAsia="Times New Roman"/>
          <w:sz w:val="22"/>
          <w:lang w:val="fr-CH" w:eastAsia="de-DE"/>
        </w:rPr>
        <w:t> </w:t>
      </w:r>
      <w:r w:rsidR="00B25EF6" w:rsidRPr="00B25EF6">
        <w:rPr>
          <w:rFonts w:eastAsia="Times New Roman"/>
          <w:sz w:val="22"/>
          <w:lang w:val="fr-CH" w:eastAsia="de-DE"/>
        </w:rPr>
        <w:t>juin</w:t>
      </w:r>
      <w:r>
        <w:rPr>
          <w:rFonts w:eastAsia="Times New Roman"/>
          <w:sz w:val="22"/>
          <w:lang w:val="fr-CH" w:eastAsia="de-DE"/>
        </w:rPr>
        <w:t> </w:t>
      </w:r>
      <w:r w:rsidR="00B25EF6" w:rsidRPr="00B25EF6">
        <w:rPr>
          <w:rFonts w:eastAsia="Times New Roman"/>
          <w:sz w:val="22"/>
          <w:lang w:val="fr-CH" w:eastAsia="de-DE"/>
        </w:rPr>
        <w:t>2019 sur les marchés publics (LMP</w:t>
      </w:r>
      <w:r w:rsidR="0067131E">
        <w:rPr>
          <w:rFonts w:eastAsia="Times New Roman"/>
          <w:sz w:val="22"/>
          <w:lang w:val="fr-CH" w:eastAsia="de-DE"/>
        </w:rPr>
        <w:t> </w:t>
      </w:r>
      <w:r w:rsidR="00B25EF6" w:rsidRPr="00B25EF6">
        <w:rPr>
          <w:rFonts w:eastAsia="Times New Roman"/>
          <w:sz w:val="22"/>
          <w:lang w:val="fr-CH" w:eastAsia="de-DE"/>
        </w:rPr>
        <w:t>; RS </w:t>
      </w:r>
      <w:r w:rsidR="00B25EF6" w:rsidRPr="00B25EF6">
        <w:rPr>
          <w:rFonts w:eastAsia="Times New Roman"/>
          <w:i/>
          <w:iCs/>
          <w:sz w:val="22"/>
          <w:lang w:val="fr-CH" w:eastAsia="de-DE"/>
        </w:rPr>
        <w:t>172.056.1</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583169BB" w14:textId="07FF39E7"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l</w:t>
      </w:r>
      <w:r w:rsidR="00B25EF6" w:rsidRPr="00B25EF6">
        <w:rPr>
          <w:rFonts w:eastAsia="Times New Roman"/>
          <w:sz w:val="22"/>
          <w:lang w:val="fr-CH" w:eastAsia="de-DE"/>
        </w:rPr>
        <w:t>.</w:t>
      </w:r>
      <w:r w:rsidR="00B25EF6" w:rsidRPr="00B25EF6">
        <w:rPr>
          <w:rFonts w:eastAsia="Times New Roman"/>
          <w:sz w:val="22"/>
          <w:lang w:val="fr-CH" w:eastAsia="de-DE"/>
        </w:rPr>
        <w:tab/>
        <w:t>l’ordonnance du 12</w:t>
      </w:r>
      <w:r>
        <w:rPr>
          <w:rFonts w:eastAsia="Times New Roman"/>
          <w:sz w:val="22"/>
          <w:lang w:val="fr-CH" w:eastAsia="de-DE"/>
        </w:rPr>
        <w:t> </w:t>
      </w:r>
      <w:r w:rsidR="00B25EF6" w:rsidRPr="00B25EF6">
        <w:rPr>
          <w:rFonts w:eastAsia="Times New Roman"/>
          <w:sz w:val="22"/>
          <w:lang w:val="fr-CH" w:eastAsia="de-DE"/>
        </w:rPr>
        <w:t>février</w:t>
      </w:r>
      <w:r>
        <w:rPr>
          <w:rFonts w:eastAsia="Times New Roman"/>
          <w:sz w:val="22"/>
          <w:lang w:val="fr-CH" w:eastAsia="de-DE"/>
        </w:rPr>
        <w:t> </w:t>
      </w:r>
      <w:r w:rsidR="00B25EF6" w:rsidRPr="00B25EF6">
        <w:rPr>
          <w:rFonts w:eastAsia="Times New Roman"/>
          <w:sz w:val="22"/>
          <w:lang w:val="fr-CH" w:eastAsia="de-DE"/>
        </w:rPr>
        <w:t>2020 sur les marchés publics (OMP</w:t>
      </w:r>
      <w:r w:rsidR="0067131E">
        <w:rPr>
          <w:rFonts w:eastAsia="Times New Roman"/>
          <w:sz w:val="22"/>
          <w:lang w:val="fr-CH" w:eastAsia="de-DE"/>
        </w:rPr>
        <w:t> </w:t>
      </w:r>
      <w:r w:rsidR="00B25EF6" w:rsidRPr="00B25EF6">
        <w:rPr>
          <w:rFonts w:eastAsia="Times New Roman"/>
          <w:sz w:val="22"/>
          <w:lang w:val="fr-CH" w:eastAsia="de-DE"/>
        </w:rPr>
        <w:t>; RS </w:t>
      </w:r>
      <w:r w:rsidR="00B25EF6" w:rsidRPr="00B25EF6">
        <w:rPr>
          <w:rFonts w:eastAsia="Times New Roman"/>
          <w:i/>
          <w:iCs/>
          <w:sz w:val="22"/>
          <w:lang w:val="fr-CH" w:eastAsia="de-DE"/>
        </w:rPr>
        <w:t>172.056.11</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7AB22297" w14:textId="575CCD4B"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m</w:t>
      </w:r>
      <w:r w:rsidR="00B25EF6" w:rsidRPr="00B25EF6">
        <w:rPr>
          <w:rFonts w:eastAsia="Times New Roman"/>
          <w:sz w:val="22"/>
          <w:lang w:val="fr-CH" w:eastAsia="de-DE"/>
        </w:rPr>
        <w:t>.</w:t>
      </w:r>
      <w:r w:rsidR="00B25EF6" w:rsidRPr="00B25EF6">
        <w:rPr>
          <w:rFonts w:eastAsia="Times New Roman"/>
          <w:sz w:val="22"/>
          <w:lang w:val="fr-CH" w:eastAsia="de-DE"/>
        </w:rPr>
        <w:tab/>
        <w:t>l’accord intercantonal du 25</w:t>
      </w:r>
      <w:r>
        <w:rPr>
          <w:rFonts w:eastAsia="Times New Roman"/>
          <w:sz w:val="22"/>
          <w:lang w:val="fr-CH" w:eastAsia="de-DE"/>
        </w:rPr>
        <w:t> </w:t>
      </w:r>
      <w:r w:rsidR="00B25EF6" w:rsidRPr="00B25EF6">
        <w:rPr>
          <w:rFonts w:eastAsia="Times New Roman"/>
          <w:sz w:val="22"/>
          <w:lang w:val="fr-CH" w:eastAsia="de-DE"/>
        </w:rPr>
        <w:t>novembre</w:t>
      </w:r>
      <w:r>
        <w:rPr>
          <w:rFonts w:eastAsia="Times New Roman"/>
          <w:sz w:val="22"/>
          <w:lang w:val="fr-CH" w:eastAsia="de-DE"/>
        </w:rPr>
        <w:t> </w:t>
      </w:r>
      <w:r w:rsidR="00B25EF6" w:rsidRPr="00B25EF6">
        <w:rPr>
          <w:rFonts w:eastAsia="Times New Roman"/>
          <w:sz w:val="22"/>
          <w:lang w:val="fr-CH" w:eastAsia="de-DE"/>
        </w:rPr>
        <w:t>1994/15</w:t>
      </w:r>
      <w:r>
        <w:rPr>
          <w:rFonts w:eastAsia="Times New Roman"/>
          <w:sz w:val="22"/>
          <w:lang w:val="fr-CH" w:eastAsia="de-DE"/>
        </w:rPr>
        <w:t> </w:t>
      </w:r>
      <w:r w:rsidR="00B25EF6" w:rsidRPr="00B25EF6">
        <w:rPr>
          <w:rFonts w:eastAsia="Times New Roman"/>
          <w:sz w:val="22"/>
          <w:lang w:val="fr-CH" w:eastAsia="de-DE"/>
        </w:rPr>
        <w:t>mars</w:t>
      </w:r>
      <w:r>
        <w:rPr>
          <w:rFonts w:eastAsia="Times New Roman"/>
          <w:sz w:val="22"/>
          <w:lang w:val="fr-CH" w:eastAsia="de-DE"/>
        </w:rPr>
        <w:t> </w:t>
      </w:r>
      <w:r w:rsidR="00B25EF6" w:rsidRPr="00B25EF6">
        <w:rPr>
          <w:rFonts w:eastAsia="Times New Roman"/>
          <w:sz w:val="22"/>
          <w:lang w:val="fr-CH" w:eastAsia="de-DE"/>
        </w:rPr>
        <w:t>2001 sur les marchés publics (AIMP)</w:t>
      </w:r>
      <w:r>
        <w:rPr>
          <w:rFonts w:eastAsia="Times New Roman"/>
          <w:sz w:val="22"/>
          <w:lang w:val="fr-CH" w:eastAsia="de-DE"/>
        </w:rPr>
        <w:t> </w:t>
      </w:r>
      <w:r w:rsidR="00B25EF6" w:rsidRPr="00B25EF6">
        <w:rPr>
          <w:rFonts w:eastAsia="Times New Roman"/>
          <w:sz w:val="22"/>
          <w:lang w:val="fr-CH" w:eastAsia="de-DE"/>
        </w:rPr>
        <w:t>;</w:t>
      </w:r>
    </w:p>
    <w:p w14:paraId="1EE5FE22" w14:textId="7B4C2B67"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n</w:t>
      </w:r>
      <w:r w:rsidR="00B25EF6" w:rsidRPr="00B25EF6">
        <w:rPr>
          <w:rFonts w:eastAsia="Times New Roman"/>
          <w:sz w:val="22"/>
          <w:lang w:val="fr-CH" w:eastAsia="de-DE"/>
        </w:rPr>
        <w:t>.</w:t>
      </w:r>
      <w:r w:rsidR="00B25EF6" w:rsidRPr="00B25EF6">
        <w:rPr>
          <w:rFonts w:eastAsia="Times New Roman"/>
          <w:sz w:val="22"/>
          <w:lang w:val="fr-CH" w:eastAsia="de-DE"/>
        </w:rPr>
        <w:tab/>
        <w:t>l’ordonnance du DETEC du 18</w:t>
      </w:r>
      <w:r>
        <w:rPr>
          <w:rFonts w:eastAsia="Times New Roman"/>
          <w:sz w:val="22"/>
          <w:lang w:val="fr-CH" w:eastAsia="de-DE"/>
        </w:rPr>
        <w:t> </w:t>
      </w:r>
      <w:r w:rsidR="00B25EF6" w:rsidRPr="00B25EF6">
        <w:rPr>
          <w:rFonts w:eastAsia="Times New Roman"/>
          <w:sz w:val="22"/>
          <w:lang w:val="fr-CH" w:eastAsia="de-DE"/>
        </w:rPr>
        <w:t>janvier</w:t>
      </w:r>
      <w:r>
        <w:rPr>
          <w:rFonts w:eastAsia="Times New Roman"/>
          <w:sz w:val="22"/>
          <w:lang w:val="fr-CH" w:eastAsia="de-DE"/>
        </w:rPr>
        <w:t> </w:t>
      </w:r>
      <w:r w:rsidR="00B25EF6" w:rsidRPr="00B25EF6">
        <w:rPr>
          <w:rFonts w:eastAsia="Times New Roman"/>
          <w:sz w:val="22"/>
          <w:lang w:val="fr-CH" w:eastAsia="de-DE"/>
        </w:rPr>
        <w:t>2011 sur la comptabilité des entreprises concessionnaires (OCEC</w:t>
      </w:r>
      <w:r>
        <w:rPr>
          <w:rFonts w:eastAsia="Times New Roman"/>
          <w:sz w:val="22"/>
          <w:lang w:val="fr-CH" w:eastAsia="de-DE"/>
        </w:rPr>
        <w:t> </w:t>
      </w:r>
      <w:r w:rsidR="00B25EF6" w:rsidRPr="00B25EF6">
        <w:rPr>
          <w:rFonts w:eastAsia="Times New Roman"/>
          <w:sz w:val="22"/>
          <w:lang w:val="fr-CH" w:eastAsia="de-DE"/>
        </w:rPr>
        <w:t>; RS</w:t>
      </w:r>
      <w:r>
        <w:rPr>
          <w:rFonts w:eastAsia="Times New Roman"/>
          <w:sz w:val="22"/>
          <w:lang w:val="fr-CH" w:eastAsia="de-DE"/>
        </w:rPr>
        <w:t> </w:t>
      </w:r>
      <w:r w:rsidR="00B25EF6" w:rsidRPr="00B25EF6">
        <w:rPr>
          <w:rFonts w:eastAsia="Times New Roman"/>
          <w:i/>
          <w:iCs/>
          <w:sz w:val="22"/>
          <w:lang w:val="fr-CH" w:eastAsia="de-DE"/>
        </w:rPr>
        <w:t>742.221</w:t>
      </w:r>
      <w:r w:rsidR="00B25EF6" w:rsidRPr="00B25EF6">
        <w:rPr>
          <w:rFonts w:eastAsia="Times New Roman"/>
          <w:sz w:val="22"/>
          <w:lang w:val="fr-CH" w:eastAsia="de-DE"/>
        </w:rPr>
        <w:t>)</w:t>
      </w:r>
      <w:r w:rsidR="00646D0B">
        <w:rPr>
          <w:rStyle w:val="Funotenzeichen"/>
          <w:rFonts w:eastAsia="Times New Roman"/>
          <w:sz w:val="22"/>
          <w:lang w:val="fr-CH" w:eastAsia="de-DE"/>
        </w:rPr>
        <w:footnoteReference w:id="1"/>
      </w:r>
      <w:r>
        <w:rPr>
          <w:rFonts w:eastAsia="Times New Roman"/>
          <w:sz w:val="22"/>
          <w:lang w:val="fr-CH" w:eastAsia="de-DE"/>
        </w:rPr>
        <w:t> </w:t>
      </w:r>
      <w:r w:rsidR="00B25EF6" w:rsidRPr="00B25EF6">
        <w:rPr>
          <w:rFonts w:eastAsia="Times New Roman"/>
          <w:sz w:val="22"/>
          <w:lang w:val="fr-CH" w:eastAsia="de-DE"/>
        </w:rPr>
        <w:t>;</w:t>
      </w:r>
    </w:p>
    <w:p w14:paraId="78531AD1" w14:textId="5BCB07BA"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o</w:t>
      </w:r>
      <w:r w:rsidR="00B25EF6" w:rsidRPr="00B25EF6">
        <w:rPr>
          <w:rFonts w:eastAsia="Times New Roman"/>
          <w:sz w:val="22"/>
          <w:lang w:val="fr-CH" w:eastAsia="de-DE"/>
        </w:rPr>
        <w:t>.</w:t>
      </w:r>
      <w:r w:rsidR="00B25EF6" w:rsidRPr="00B25EF6">
        <w:rPr>
          <w:rFonts w:eastAsia="Times New Roman"/>
          <w:sz w:val="22"/>
          <w:lang w:val="fr-CH" w:eastAsia="de-DE"/>
        </w:rPr>
        <w:tab/>
        <w:t>la loi du 13</w:t>
      </w:r>
      <w:r>
        <w:rPr>
          <w:rFonts w:eastAsia="Times New Roman"/>
          <w:sz w:val="22"/>
          <w:lang w:val="fr-CH" w:eastAsia="de-DE"/>
        </w:rPr>
        <w:t> </w:t>
      </w:r>
      <w:r w:rsidR="00B25EF6" w:rsidRPr="00B25EF6">
        <w:rPr>
          <w:rFonts w:eastAsia="Times New Roman"/>
          <w:sz w:val="22"/>
          <w:lang w:val="fr-CH" w:eastAsia="de-DE"/>
        </w:rPr>
        <w:t>décembre</w:t>
      </w:r>
      <w:r>
        <w:rPr>
          <w:rFonts w:eastAsia="Times New Roman"/>
          <w:sz w:val="22"/>
          <w:lang w:val="fr-CH" w:eastAsia="de-DE"/>
        </w:rPr>
        <w:t> </w:t>
      </w:r>
      <w:r w:rsidR="00B25EF6" w:rsidRPr="00B25EF6">
        <w:rPr>
          <w:rFonts w:eastAsia="Times New Roman"/>
          <w:sz w:val="22"/>
          <w:lang w:val="fr-CH" w:eastAsia="de-DE"/>
        </w:rPr>
        <w:t>2002 sur l’égalité pour les handicapés (LHand</w:t>
      </w:r>
      <w:r>
        <w:rPr>
          <w:rFonts w:eastAsia="Times New Roman"/>
          <w:sz w:val="22"/>
          <w:lang w:val="fr-CH" w:eastAsia="de-DE"/>
        </w:rPr>
        <w:t> </w:t>
      </w:r>
      <w:r w:rsidR="00B25EF6" w:rsidRPr="00B25EF6">
        <w:rPr>
          <w:rFonts w:eastAsia="Times New Roman"/>
          <w:sz w:val="22"/>
          <w:lang w:val="fr-CH" w:eastAsia="de-DE"/>
        </w:rPr>
        <w:t>; RS </w:t>
      </w:r>
      <w:r w:rsidR="00B25EF6" w:rsidRPr="00B25EF6">
        <w:rPr>
          <w:rFonts w:eastAsia="Times New Roman"/>
          <w:i/>
          <w:iCs/>
          <w:sz w:val="22"/>
          <w:lang w:val="fr-CH" w:eastAsia="de-DE"/>
        </w:rPr>
        <w:t>151.3</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2738B42C" w14:textId="0380D6B1"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p</w:t>
      </w:r>
      <w:r w:rsidR="00B25EF6" w:rsidRPr="00B25EF6">
        <w:rPr>
          <w:rFonts w:eastAsia="Times New Roman"/>
          <w:sz w:val="22"/>
          <w:lang w:val="fr-CH" w:eastAsia="de-DE"/>
        </w:rPr>
        <w:t>.</w:t>
      </w:r>
      <w:r w:rsidR="00B25EF6" w:rsidRPr="00B25EF6">
        <w:rPr>
          <w:rFonts w:eastAsia="Times New Roman"/>
          <w:sz w:val="22"/>
          <w:lang w:val="fr-CH" w:eastAsia="de-DE"/>
        </w:rPr>
        <w:tab/>
        <w:t>l’ordonnance du 12</w:t>
      </w:r>
      <w:r>
        <w:rPr>
          <w:rFonts w:eastAsia="Times New Roman"/>
          <w:sz w:val="22"/>
          <w:lang w:val="fr-CH" w:eastAsia="de-DE"/>
        </w:rPr>
        <w:t> </w:t>
      </w:r>
      <w:r w:rsidR="00B25EF6" w:rsidRPr="00B25EF6">
        <w:rPr>
          <w:rFonts w:eastAsia="Times New Roman"/>
          <w:sz w:val="22"/>
          <w:lang w:val="fr-CH" w:eastAsia="de-DE"/>
        </w:rPr>
        <w:t>novembre</w:t>
      </w:r>
      <w:r>
        <w:rPr>
          <w:rFonts w:eastAsia="Times New Roman"/>
          <w:sz w:val="22"/>
          <w:lang w:val="fr-CH" w:eastAsia="de-DE"/>
        </w:rPr>
        <w:t> </w:t>
      </w:r>
      <w:r w:rsidR="00B25EF6" w:rsidRPr="00B25EF6">
        <w:rPr>
          <w:rFonts w:eastAsia="Times New Roman"/>
          <w:sz w:val="22"/>
          <w:lang w:val="fr-CH" w:eastAsia="de-DE"/>
        </w:rPr>
        <w:t>2003 sur les aménagements visant à assurer l’accès des personnes handicapées aux transports publics (OTHand</w:t>
      </w:r>
      <w:r>
        <w:rPr>
          <w:rFonts w:eastAsia="Times New Roman"/>
          <w:sz w:val="22"/>
          <w:lang w:val="fr-CH" w:eastAsia="de-DE"/>
        </w:rPr>
        <w:t> </w:t>
      </w:r>
      <w:r w:rsidR="00B25EF6" w:rsidRPr="00B25EF6">
        <w:rPr>
          <w:rFonts w:eastAsia="Times New Roman"/>
          <w:sz w:val="22"/>
          <w:lang w:val="fr-CH" w:eastAsia="de-DE"/>
        </w:rPr>
        <w:t>; RS </w:t>
      </w:r>
      <w:r w:rsidR="00B25EF6" w:rsidRPr="00B25EF6">
        <w:rPr>
          <w:rFonts w:eastAsia="Times New Roman"/>
          <w:i/>
          <w:iCs/>
          <w:sz w:val="22"/>
          <w:lang w:val="fr-CH" w:eastAsia="de-DE"/>
        </w:rPr>
        <w:t>151.34</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4564B35B" w14:textId="776A29FC"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q</w:t>
      </w:r>
      <w:r w:rsidR="00B25EF6" w:rsidRPr="00B25EF6">
        <w:rPr>
          <w:rFonts w:eastAsia="Times New Roman"/>
          <w:sz w:val="22"/>
          <w:lang w:val="fr-CH" w:eastAsia="de-DE"/>
        </w:rPr>
        <w:t>.</w:t>
      </w:r>
      <w:r w:rsidR="00B25EF6" w:rsidRPr="00B25EF6">
        <w:rPr>
          <w:rFonts w:eastAsia="Times New Roman"/>
          <w:sz w:val="22"/>
          <w:lang w:val="fr-CH" w:eastAsia="de-DE"/>
        </w:rPr>
        <w:tab/>
        <w:t>l’ordonnance du DETEC du 2</w:t>
      </w:r>
      <w:r>
        <w:rPr>
          <w:rFonts w:eastAsia="Times New Roman"/>
          <w:sz w:val="22"/>
          <w:lang w:val="fr-CH" w:eastAsia="de-DE"/>
        </w:rPr>
        <w:t>3 mars </w:t>
      </w:r>
      <w:r w:rsidR="00B25EF6" w:rsidRPr="00B25EF6">
        <w:rPr>
          <w:rFonts w:eastAsia="Times New Roman"/>
          <w:sz w:val="22"/>
          <w:lang w:val="fr-CH" w:eastAsia="de-DE"/>
        </w:rPr>
        <w:t>20</w:t>
      </w:r>
      <w:r w:rsidR="005F3A2E">
        <w:rPr>
          <w:rFonts w:eastAsia="Times New Roman"/>
          <w:sz w:val="22"/>
          <w:lang w:val="fr-CH" w:eastAsia="de-DE"/>
        </w:rPr>
        <w:t>1</w:t>
      </w:r>
      <w:r w:rsidR="00B25EF6" w:rsidRPr="00B25EF6">
        <w:rPr>
          <w:rFonts w:eastAsia="Times New Roman"/>
          <w:sz w:val="22"/>
          <w:lang w:val="fr-CH" w:eastAsia="de-DE"/>
        </w:rPr>
        <w:t>6 concernant les exigences techniques sur les aménagements visant à assurer l’accès des personnes handicapées aux transports publics (OETHand</w:t>
      </w:r>
      <w:r>
        <w:rPr>
          <w:rFonts w:eastAsia="Times New Roman"/>
          <w:sz w:val="22"/>
          <w:lang w:val="fr-CH" w:eastAsia="de-DE"/>
        </w:rPr>
        <w:t> </w:t>
      </w:r>
      <w:r w:rsidR="00B25EF6" w:rsidRPr="00B25EF6">
        <w:rPr>
          <w:rFonts w:eastAsia="Times New Roman"/>
          <w:sz w:val="22"/>
          <w:lang w:val="fr-CH" w:eastAsia="de-DE"/>
        </w:rPr>
        <w:t>; RS</w:t>
      </w:r>
      <w:r>
        <w:rPr>
          <w:rFonts w:eastAsia="Times New Roman"/>
          <w:sz w:val="22"/>
          <w:lang w:val="fr-CH" w:eastAsia="de-DE"/>
        </w:rPr>
        <w:t> </w:t>
      </w:r>
      <w:r w:rsidR="00B25EF6" w:rsidRPr="00B25EF6">
        <w:rPr>
          <w:rFonts w:eastAsia="Times New Roman"/>
          <w:i/>
          <w:iCs/>
          <w:sz w:val="22"/>
          <w:lang w:val="fr-CH" w:eastAsia="de-DE"/>
        </w:rPr>
        <w:t>151.342</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43418CD0" w14:textId="2D04247D"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r</w:t>
      </w:r>
      <w:r w:rsidR="00B25EF6" w:rsidRPr="00B25EF6">
        <w:rPr>
          <w:rFonts w:eastAsia="Times New Roman"/>
          <w:sz w:val="22"/>
          <w:lang w:val="fr-CH" w:eastAsia="de-DE"/>
        </w:rPr>
        <w:t>.</w:t>
      </w:r>
      <w:r w:rsidR="00B25EF6" w:rsidRPr="00B25EF6">
        <w:rPr>
          <w:rFonts w:eastAsia="Times New Roman"/>
          <w:sz w:val="22"/>
          <w:lang w:val="fr-CH" w:eastAsia="de-DE"/>
        </w:rPr>
        <w:tab/>
        <w:t>l’ordonnance du 23</w:t>
      </w:r>
      <w:r>
        <w:rPr>
          <w:rFonts w:eastAsia="Times New Roman"/>
          <w:sz w:val="22"/>
          <w:lang w:val="fr-CH" w:eastAsia="de-DE"/>
        </w:rPr>
        <w:t> </w:t>
      </w:r>
      <w:r w:rsidR="00B25EF6" w:rsidRPr="00B25EF6">
        <w:rPr>
          <w:rFonts w:eastAsia="Times New Roman"/>
          <w:sz w:val="22"/>
          <w:lang w:val="fr-CH" w:eastAsia="de-DE"/>
        </w:rPr>
        <w:t>novembre</w:t>
      </w:r>
      <w:r>
        <w:rPr>
          <w:rFonts w:eastAsia="Times New Roman"/>
          <w:sz w:val="22"/>
          <w:lang w:val="fr-CH" w:eastAsia="de-DE"/>
        </w:rPr>
        <w:t> </w:t>
      </w:r>
      <w:r w:rsidR="00B25EF6" w:rsidRPr="00B25EF6">
        <w:rPr>
          <w:rFonts w:eastAsia="Times New Roman"/>
          <w:sz w:val="22"/>
          <w:lang w:val="fr-CH" w:eastAsia="de-DE"/>
        </w:rPr>
        <w:t>1983 sur les chemins de fer (OCF</w:t>
      </w:r>
      <w:r>
        <w:rPr>
          <w:rFonts w:eastAsia="Times New Roman"/>
          <w:sz w:val="22"/>
          <w:lang w:val="fr-CH" w:eastAsia="de-DE"/>
        </w:rPr>
        <w:t> </w:t>
      </w:r>
      <w:r w:rsidR="00B25EF6" w:rsidRPr="00B25EF6">
        <w:rPr>
          <w:rFonts w:eastAsia="Times New Roman"/>
          <w:sz w:val="22"/>
          <w:lang w:val="fr-CH" w:eastAsia="de-DE"/>
        </w:rPr>
        <w:t>; RS </w:t>
      </w:r>
      <w:r w:rsidR="00B25EF6" w:rsidRPr="00B25EF6">
        <w:rPr>
          <w:rFonts w:eastAsia="Times New Roman"/>
          <w:i/>
          <w:iCs/>
          <w:sz w:val="22"/>
          <w:lang w:val="fr-CH" w:eastAsia="de-DE"/>
        </w:rPr>
        <w:t>742.141.1</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44C3F0D6" w14:textId="0CB8BDA6" w:rsidR="00B25EF6" w:rsidRP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s</w:t>
      </w:r>
      <w:r w:rsidR="00B25EF6" w:rsidRPr="00B25EF6">
        <w:rPr>
          <w:rFonts w:eastAsia="Times New Roman"/>
          <w:sz w:val="22"/>
          <w:lang w:val="fr-CH" w:eastAsia="de-DE"/>
        </w:rPr>
        <w:t>.</w:t>
      </w:r>
      <w:r w:rsidR="00B25EF6" w:rsidRPr="00B25EF6">
        <w:rPr>
          <w:rFonts w:eastAsia="Times New Roman"/>
          <w:sz w:val="22"/>
          <w:lang w:val="fr-CH" w:eastAsia="de-DE"/>
        </w:rPr>
        <w:tab/>
        <w:t>la loi fédérale du 5</w:t>
      </w:r>
      <w:r>
        <w:rPr>
          <w:rFonts w:eastAsia="Times New Roman"/>
          <w:sz w:val="22"/>
          <w:lang w:val="fr-CH" w:eastAsia="de-DE"/>
        </w:rPr>
        <w:t> </w:t>
      </w:r>
      <w:r w:rsidR="00B25EF6" w:rsidRPr="00B25EF6">
        <w:rPr>
          <w:rFonts w:eastAsia="Times New Roman"/>
          <w:sz w:val="22"/>
          <w:lang w:val="fr-CH" w:eastAsia="de-DE"/>
        </w:rPr>
        <w:t>octobre</w:t>
      </w:r>
      <w:r>
        <w:rPr>
          <w:rFonts w:eastAsia="Times New Roman"/>
          <w:sz w:val="22"/>
          <w:lang w:val="fr-CH" w:eastAsia="de-DE"/>
        </w:rPr>
        <w:t> </w:t>
      </w:r>
      <w:r w:rsidR="00B25EF6" w:rsidRPr="00B25EF6">
        <w:rPr>
          <w:rFonts w:eastAsia="Times New Roman"/>
          <w:sz w:val="22"/>
          <w:lang w:val="fr-CH" w:eastAsia="de-DE"/>
        </w:rPr>
        <w:t>2007 sur la géoinformation (LGéo</w:t>
      </w:r>
      <w:r>
        <w:rPr>
          <w:rFonts w:eastAsia="Times New Roman"/>
          <w:sz w:val="22"/>
          <w:lang w:val="fr-CH" w:eastAsia="de-DE"/>
        </w:rPr>
        <w:t> ;</w:t>
      </w:r>
      <w:r w:rsidR="00B25EF6" w:rsidRPr="00B25EF6">
        <w:rPr>
          <w:rFonts w:eastAsia="Times New Roman"/>
          <w:sz w:val="22"/>
          <w:lang w:val="fr-CH" w:eastAsia="de-DE"/>
        </w:rPr>
        <w:t xml:space="preserve"> RS</w:t>
      </w:r>
      <w:r>
        <w:rPr>
          <w:rFonts w:eastAsia="Times New Roman"/>
          <w:sz w:val="22"/>
          <w:lang w:val="fr-CH" w:eastAsia="de-DE"/>
        </w:rPr>
        <w:t> </w:t>
      </w:r>
      <w:r w:rsidR="00B25EF6" w:rsidRPr="00B25EF6">
        <w:rPr>
          <w:rFonts w:eastAsia="Times New Roman"/>
          <w:i/>
          <w:iCs/>
          <w:sz w:val="22"/>
          <w:lang w:val="fr-CH" w:eastAsia="de-DE"/>
        </w:rPr>
        <w:t>510.62</w:t>
      </w:r>
      <w:r w:rsidR="00B25EF6" w:rsidRPr="00B25EF6">
        <w:rPr>
          <w:rFonts w:eastAsia="Times New Roman"/>
          <w:sz w:val="22"/>
          <w:lang w:val="fr-CH" w:eastAsia="de-DE"/>
        </w:rPr>
        <w:t>)</w:t>
      </w:r>
      <w:r>
        <w:rPr>
          <w:rFonts w:eastAsia="Times New Roman"/>
          <w:sz w:val="22"/>
          <w:lang w:val="fr-CH" w:eastAsia="de-DE"/>
        </w:rPr>
        <w:t> </w:t>
      </w:r>
      <w:r w:rsidR="00B25EF6" w:rsidRPr="00B25EF6">
        <w:rPr>
          <w:rFonts w:eastAsia="Times New Roman"/>
          <w:sz w:val="22"/>
          <w:lang w:val="fr-CH" w:eastAsia="de-DE"/>
        </w:rPr>
        <w:t>;</w:t>
      </w:r>
    </w:p>
    <w:p w14:paraId="2BFB2373" w14:textId="727EAC3F" w:rsidR="00B25EF6"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t</w:t>
      </w:r>
      <w:r w:rsidR="00B25EF6" w:rsidRPr="00B25EF6">
        <w:rPr>
          <w:rFonts w:eastAsia="Times New Roman"/>
          <w:sz w:val="22"/>
          <w:lang w:val="fr-CH" w:eastAsia="de-DE"/>
        </w:rPr>
        <w:t>.</w:t>
      </w:r>
      <w:r w:rsidR="00B25EF6" w:rsidRPr="00B25EF6">
        <w:rPr>
          <w:rFonts w:eastAsia="Times New Roman"/>
          <w:sz w:val="22"/>
          <w:lang w:val="fr-CH" w:eastAsia="de-DE"/>
        </w:rPr>
        <w:tab/>
        <w:t>l’ordonnance du 21</w:t>
      </w:r>
      <w:r>
        <w:rPr>
          <w:rFonts w:eastAsia="Times New Roman"/>
          <w:sz w:val="22"/>
          <w:lang w:val="fr-CH" w:eastAsia="de-DE"/>
        </w:rPr>
        <w:t> </w:t>
      </w:r>
      <w:r w:rsidR="00B25EF6" w:rsidRPr="00B25EF6">
        <w:rPr>
          <w:rFonts w:eastAsia="Times New Roman"/>
          <w:sz w:val="22"/>
          <w:lang w:val="fr-CH" w:eastAsia="de-DE"/>
        </w:rPr>
        <w:t>mai</w:t>
      </w:r>
      <w:r>
        <w:rPr>
          <w:rFonts w:eastAsia="Times New Roman"/>
          <w:sz w:val="22"/>
          <w:lang w:val="fr-CH" w:eastAsia="de-DE"/>
        </w:rPr>
        <w:t> </w:t>
      </w:r>
      <w:r w:rsidR="00B25EF6" w:rsidRPr="00B25EF6">
        <w:rPr>
          <w:rFonts w:eastAsia="Times New Roman"/>
          <w:sz w:val="22"/>
          <w:lang w:val="fr-CH" w:eastAsia="de-DE"/>
        </w:rPr>
        <w:t>2008 sur la géoinformation (OGéo</w:t>
      </w:r>
      <w:r>
        <w:rPr>
          <w:rFonts w:eastAsia="Times New Roman"/>
          <w:sz w:val="22"/>
          <w:lang w:val="fr-CH" w:eastAsia="de-DE"/>
        </w:rPr>
        <w:t> ;</w:t>
      </w:r>
      <w:r w:rsidR="00B25EF6" w:rsidRPr="00B25EF6">
        <w:rPr>
          <w:rFonts w:eastAsia="Times New Roman"/>
          <w:sz w:val="22"/>
          <w:lang w:val="fr-CH" w:eastAsia="de-DE"/>
        </w:rPr>
        <w:t xml:space="preserve"> RS</w:t>
      </w:r>
      <w:r>
        <w:rPr>
          <w:rFonts w:eastAsia="Times New Roman"/>
          <w:sz w:val="22"/>
          <w:lang w:val="fr-CH" w:eastAsia="de-DE"/>
        </w:rPr>
        <w:t> </w:t>
      </w:r>
      <w:r w:rsidR="00B25EF6" w:rsidRPr="00B25EF6">
        <w:rPr>
          <w:rFonts w:eastAsia="Times New Roman"/>
          <w:i/>
          <w:iCs/>
          <w:sz w:val="22"/>
          <w:lang w:val="fr-CH" w:eastAsia="de-DE"/>
        </w:rPr>
        <w:t>510.620</w:t>
      </w:r>
      <w:r w:rsidR="00B25EF6" w:rsidRPr="00B25EF6">
        <w:rPr>
          <w:rFonts w:eastAsia="Times New Roman"/>
          <w:sz w:val="22"/>
          <w:lang w:val="fr-CH" w:eastAsia="de-DE"/>
        </w:rPr>
        <w:t>)</w:t>
      </w:r>
      <w:r>
        <w:rPr>
          <w:rFonts w:eastAsia="Times New Roman"/>
          <w:sz w:val="22"/>
          <w:lang w:val="fr-CH" w:eastAsia="de-DE"/>
        </w:rPr>
        <w:t> ;</w:t>
      </w:r>
    </w:p>
    <w:p w14:paraId="00A2EA05" w14:textId="5AC87C89" w:rsidR="00FE2CC7" w:rsidRDefault="00FE2CC7" w:rsidP="00B25EF6">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u.</w:t>
      </w:r>
      <w:r>
        <w:rPr>
          <w:rFonts w:eastAsia="Times New Roman"/>
          <w:sz w:val="22"/>
          <w:lang w:val="fr-CH" w:eastAsia="de-DE"/>
        </w:rPr>
        <w:tab/>
        <w:t>l’o</w:t>
      </w:r>
      <w:r w:rsidRPr="00FE2CC7">
        <w:rPr>
          <w:rFonts w:eastAsia="Times New Roman"/>
          <w:sz w:val="22"/>
          <w:lang w:val="fr-CH" w:eastAsia="de-DE"/>
        </w:rPr>
        <w:t xml:space="preserve">rdonnance </w:t>
      </w:r>
      <w:r>
        <w:rPr>
          <w:rFonts w:eastAsia="Times New Roman"/>
          <w:sz w:val="22"/>
          <w:lang w:val="fr-CH" w:eastAsia="de-DE"/>
        </w:rPr>
        <w:t xml:space="preserve">du 13 mai 2020 </w:t>
      </w:r>
      <w:r w:rsidRPr="00FE2CC7">
        <w:rPr>
          <w:rFonts w:eastAsia="Times New Roman"/>
          <w:sz w:val="22"/>
          <w:lang w:val="fr-CH" w:eastAsia="de-DE"/>
        </w:rPr>
        <w:t>sur le service d’attribution des sillons</w:t>
      </w:r>
      <w:r w:rsidRPr="008D722D">
        <w:rPr>
          <w:color w:val="000000"/>
          <w:lang w:val="fr-CH"/>
        </w:rPr>
        <w:t xml:space="preserve"> </w:t>
      </w:r>
      <w:r w:rsidRPr="00FE2CC7">
        <w:rPr>
          <w:rFonts w:eastAsia="Times New Roman"/>
          <w:sz w:val="22"/>
          <w:lang w:val="fr-CH" w:eastAsia="de-DE"/>
        </w:rPr>
        <w:t>(OServAS ; RS </w:t>
      </w:r>
      <w:r w:rsidRPr="00FE2CC7">
        <w:rPr>
          <w:rFonts w:eastAsia="Times New Roman"/>
          <w:i/>
          <w:iCs/>
          <w:sz w:val="22"/>
          <w:lang w:val="fr-CH" w:eastAsia="de-DE"/>
        </w:rPr>
        <w:t>742.123</w:t>
      </w:r>
      <w:r>
        <w:rPr>
          <w:rFonts w:eastAsia="Times New Roman"/>
          <w:sz w:val="22"/>
          <w:lang w:val="fr-CH" w:eastAsia="de-DE"/>
        </w:rPr>
        <w:t>) ;</w:t>
      </w:r>
    </w:p>
    <w:p w14:paraId="585E775A" w14:textId="768F8773" w:rsidR="00FE2CC7" w:rsidRPr="00B25EF6" w:rsidRDefault="00FE2CC7" w:rsidP="00FE2CC7">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v.</w:t>
      </w:r>
      <w:r>
        <w:rPr>
          <w:rFonts w:eastAsia="Times New Roman"/>
          <w:sz w:val="22"/>
          <w:lang w:val="fr-CH" w:eastAsia="de-DE"/>
        </w:rPr>
        <w:tab/>
        <w:t>l’o</w:t>
      </w:r>
      <w:r w:rsidRPr="00FE2CC7">
        <w:rPr>
          <w:rFonts w:eastAsia="Times New Roman"/>
          <w:sz w:val="22"/>
          <w:lang w:val="fr-CH" w:eastAsia="de-DE"/>
        </w:rPr>
        <w:t>rdonnance</w:t>
      </w:r>
      <w:r>
        <w:rPr>
          <w:rFonts w:eastAsia="Times New Roman"/>
          <w:sz w:val="22"/>
          <w:lang w:val="fr-CH" w:eastAsia="de-DE"/>
        </w:rPr>
        <w:t xml:space="preserve"> du 17 août 2011 </w:t>
      </w:r>
      <w:r w:rsidRPr="00FE2CC7">
        <w:rPr>
          <w:rFonts w:eastAsia="Times New Roman"/>
          <w:sz w:val="22"/>
          <w:lang w:val="fr-CH" w:eastAsia="de-DE"/>
        </w:rPr>
        <w:t>sur les organes de sécurité des entreprises de transports publics</w:t>
      </w:r>
      <w:r w:rsidR="00646D0B">
        <w:rPr>
          <w:rFonts w:eastAsia="Times New Roman"/>
          <w:sz w:val="22"/>
          <w:lang w:val="fr-CH" w:eastAsia="de-DE"/>
        </w:rPr>
        <w:t xml:space="preserve"> </w:t>
      </w:r>
      <w:r w:rsidRPr="00FE2CC7">
        <w:rPr>
          <w:rFonts w:eastAsia="Times New Roman"/>
          <w:sz w:val="22"/>
          <w:lang w:val="fr-CH" w:eastAsia="de-DE"/>
        </w:rPr>
        <w:t>(OOST</w:t>
      </w:r>
      <w:r w:rsidR="00646D0B">
        <w:rPr>
          <w:rFonts w:eastAsia="Times New Roman"/>
          <w:sz w:val="22"/>
          <w:lang w:val="fr-CH" w:eastAsia="de-DE"/>
        </w:rPr>
        <w:t> ; RS </w:t>
      </w:r>
      <w:r w:rsidR="00646D0B" w:rsidRPr="00646D0B">
        <w:rPr>
          <w:rFonts w:eastAsia="Times New Roman"/>
          <w:i/>
          <w:iCs/>
          <w:sz w:val="22"/>
          <w:lang w:val="fr-CH" w:eastAsia="de-DE"/>
        </w:rPr>
        <w:t>745.21</w:t>
      </w:r>
      <w:r w:rsidRPr="00FE2CC7">
        <w:rPr>
          <w:rFonts w:eastAsia="Times New Roman"/>
          <w:sz w:val="22"/>
          <w:lang w:val="fr-CH" w:eastAsia="de-DE"/>
        </w:rPr>
        <w:t>)</w:t>
      </w:r>
      <w:r w:rsidR="00646D0B">
        <w:rPr>
          <w:rFonts w:eastAsia="Times New Roman"/>
          <w:sz w:val="22"/>
          <w:lang w:val="fr-CH" w:eastAsia="de-DE"/>
        </w:rPr>
        <w:t>.</w:t>
      </w:r>
    </w:p>
    <w:p w14:paraId="7FB6EE9A" w14:textId="13405D73" w:rsidR="00B25EF6" w:rsidRDefault="00646D0B" w:rsidP="00B25EF6">
      <w:pPr>
        <w:pStyle w:val="Absatz"/>
        <w:spacing w:line="240" w:lineRule="auto"/>
        <w:rPr>
          <w:rFonts w:ascii="Arial" w:hAnsi="Arial" w:cs="Arial"/>
          <w:sz w:val="22"/>
          <w:szCs w:val="22"/>
          <w:lang w:val="fr-CH"/>
        </w:rPr>
      </w:pPr>
      <w:r w:rsidRPr="00646D0B">
        <w:rPr>
          <w:rFonts w:ascii="Arial" w:hAnsi="Arial" w:cs="Arial"/>
          <w:sz w:val="22"/>
          <w:szCs w:val="22"/>
          <w:lang w:val="fr-CH"/>
        </w:rPr>
        <w:t>Les autres règle</w:t>
      </w:r>
      <w:r>
        <w:rPr>
          <w:rFonts w:ascii="Arial" w:hAnsi="Arial" w:cs="Arial"/>
          <w:sz w:val="22"/>
          <w:szCs w:val="22"/>
          <w:lang w:val="fr-CH"/>
        </w:rPr>
        <w:t>mentations</w:t>
      </w:r>
      <w:r w:rsidRPr="00646D0B">
        <w:rPr>
          <w:rFonts w:ascii="Arial" w:hAnsi="Arial" w:cs="Arial"/>
          <w:sz w:val="22"/>
          <w:szCs w:val="22"/>
          <w:lang w:val="fr-CH"/>
        </w:rPr>
        <w:t xml:space="preserve"> applicables sont notamment</w:t>
      </w:r>
      <w:r>
        <w:rPr>
          <w:rFonts w:ascii="Arial" w:hAnsi="Arial" w:cs="Arial"/>
          <w:sz w:val="22"/>
          <w:szCs w:val="22"/>
          <w:lang w:val="fr-CH"/>
        </w:rPr>
        <w:t> :</w:t>
      </w:r>
    </w:p>
    <w:p w14:paraId="274DD28E" w14:textId="3ED9974B" w:rsidR="00646D0B" w:rsidRDefault="001A5FFF" w:rsidP="000272C8">
      <w:pPr>
        <w:pStyle w:val="Absatz"/>
        <w:numPr>
          <w:ilvl w:val="0"/>
          <w:numId w:val="10"/>
        </w:numPr>
        <w:spacing w:line="240" w:lineRule="auto"/>
        <w:ind w:left="567" w:hanging="425"/>
        <w:rPr>
          <w:rFonts w:ascii="Arial" w:hAnsi="Arial" w:cs="Arial"/>
          <w:sz w:val="22"/>
          <w:szCs w:val="22"/>
          <w:lang w:val="fr-CH"/>
        </w:rPr>
      </w:pPr>
      <w:proofErr w:type="gramStart"/>
      <w:r>
        <w:rPr>
          <w:rFonts w:ascii="Arial" w:hAnsi="Arial" w:cs="Arial"/>
          <w:sz w:val="22"/>
          <w:szCs w:val="22"/>
          <w:lang w:val="fr-CH"/>
        </w:rPr>
        <w:t>l</w:t>
      </w:r>
      <w:r w:rsidR="000272C8">
        <w:rPr>
          <w:rFonts w:ascii="Arial" w:hAnsi="Arial" w:cs="Arial"/>
          <w:sz w:val="22"/>
          <w:szCs w:val="22"/>
          <w:lang w:val="fr-CH"/>
        </w:rPr>
        <w:t>e</w:t>
      </w:r>
      <w:proofErr w:type="gramEnd"/>
      <w:r w:rsidR="000272C8">
        <w:rPr>
          <w:rFonts w:ascii="Arial" w:hAnsi="Arial" w:cs="Arial"/>
          <w:sz w:val="22"/>
          <w:szCs w:val="22"/>
          <w:lang w:val="fr-CH"/>
        </w:rPr>
        <w:t xml:space="preserve"> </w:t>
      </w:r>
      <w:r w:rsidR="000272C8" w:rsidRPr="000272C8">
        <w:rPr>
          <w:rFonts w:ascii="Arial" w:hAnsi="Arial" w:cs="Arial"/>
          <w:sz w:val="22"/>
          <w:szCs w:val="22"/>
          <w:lang w:val="fr-CH"/>
        </w:rPr>
        <w:t>standard de la branche</w:t>
      </w:r>
      <w:r w:rsidR="000272C8">
        <w:rPr>
          <w:rFonts w:ascii="Arial" w:hAnsi="Arial" w:cs="Arial"/>
          <w:sz w:val="22"/>
          <w:szCs w:val="22"/>
          <w:lang w:val="fr-CH"/>
        </w:rPr>
        <w:t xml:space="preserve"> du 26 septembre 2019 </w:t>
      </w:r>
      <w:r w:rsidR="000272C8" w:rsidRPr="000272C8">
        <w:rPr>
          <w:rFonts w:ascii="Arial" w:hAnsi="Arial" w:cs="Arial"/>
          <w:sz w:val="22"/>
          <w:szCs w:val="22"/>
          <w:lang w:val="fr-CH"/>
        </w:rPr>
        <w:t xml:space="preserve">Direction financière et contrôle de gestion de la convention de prestations </w:t>
      </w:r>
      <w:r w:rsidR="000272C8">
        <w:rPr>
          <w:rFonts w:ascii="Arial" w:hAnsi="Arial" w:cs="Arial"/>
          <w:sz w:val="22"/>
          <w:szCs w:val="22"/>
          <w:lang w:val="fr-CH"/>
        </w:rPr>
        <w:t xml:space="preserve">(SB-CCP) de l’Union des transports publics (UTP), y c. la mise à jour des </w:t>
      </w:r>
      <w:r w:rsidR="00203053">
        <w:rPr>
          <w:rFonts w:ascii="Arial" w:hAnsi="Arial" w:cs="Arial"/>
          <w:sz w:val="22"/>
          <w:szCs w:val="22"/>
          <w:lang w:val="fr-CH"/>
        </w:rPr>
        <w:t xml:space="preserve">chiffres-clés </w:t>
      </w:r>
      <w:r w:rsidR="000272C8">
        <w:rPr>
          <w:rFonts w:ascii="Arial" w:hAnsi="Arial" w:cs="Arial"/>
          <w:sz w:val="22"/>
          <w:szCs w:val="22"/>
          <w:lang w:val="fr-CH"/>
        </w:rPr>
        <w:t xml:space="preserve">du xxx ; </w:t>
      </w:r>
    </w:p>
    <w:p w14:paraId="7A3138AE" w14:textId="47AA61C9" w:rsidR="000272C8" w:rsidRDefault="001A5FFF" w:rsidP="000272C8">
      <w:pPr>
        <w:pStyle w:val="Absatz"/>
        <w:numPr>
          <w:ilvl w:val="0"/>
          <w:numId w:val="10"/>
        </w:numPr>
        <w:spacing w:line="240" w:lineRule="auto"/>
        <w:ind w:left="567" w:hanging="425"/>
        <w:rPr>
          <w:rFonts w:ascii="Arial" w:hAnsi="Arial" w:cs="Arial"/>
          <w:sz w:val="22"/>
          <w:szCs w:val="22"/>
          <w:lang w:val="fr-CH"/>
        </w:rPr>
      </w:pPr>
      <w:proofErr w:type="gramStart"/>
      <w:r>
        <w:rPr>
          <w:rFonts w:ascii="Arial" w:hAnsi="Arial" w:cs="Arial"/>
          <w:sz w:val="22"/>
          <w:szCs w:val="22"/>
          <w:lang w:val="fr-CH"/>
        </w:rPr>
        <w:t>le</w:t>
      </w:r>
      <w:proofErr w:type="gramEnd"/>
      <w:r>
        <w:rPr>
          <w:rFonts w:ascii="Arial" w:hAnsi="Arial" w:cs="Arial"/>
          <w:sz w:val="22"/>
          <w:szCs w:val="22"/>
          <w:lang w:val="fr-CH"/>
        </w:rPr>
        <w:t xml:space="preserve"> </w:t>
      </w:r>
      <w:r w:rsidR="000272C8" w:rsidRPr="000272C8">
        <w:rPr>
          <w:rFonts w:ascii="Arial" w:hAnsi="Arial" w:cs="Arial"/>
          <w:sz w:val="22"/>
          <w:szCs w:val="22"/>
          <w:lang w:val="fr-CH"/>
        </w:rPr>
        <w:t xml:space="preserve">règlement technique ferroviaire 29900 </w:t>
      </w:r>
      <w:r>
        <w:rPr>
          <w:rFonts w:ascii="Arial" w:hAnsi="Arial" w:cs="Arial"/>
          <w:sz w:val="22"/>
          <w:szCs w:val="22"/>
          <w:lang w:val="fr-CH"/>
        </w:rPr>
        <w:t xml:space="preserve">du 4 avril 2018, y c. les adaptations du 8 novembre 2018 (R </w:t>
      </w:r>
      <w:r w:rsidR="000272C8" w:rsidRPr="000272C8">
        <w:rPr>
          <w:rFonts w:ascii="Arial" w:hAnsi="Arial" w:cs="Arial"/>
          <w:sz w:val="22"/>
          <w:szCs w:val="22"/>
          <w:lang w:val="fr-CH"/>
        </w:rPr>
        <w:t>RTE 29900</w:t>
      </w:r>
      <w:r>
        <w:rPr>
          <w:rFonts w:ascii="Arial" w:hAnsi="Arial" w:cs="Arial"/>
          <w:sz w:val="22"/>
          <w:szCs w:val="22"/>
          <w:lang w:val="fr-CH"/>
        </w:rPr>
        <w:t>, UTP) ;</w:t>
      </w:r>
    </w:p>
    <w:p w14:paraId="6E763FD2" w14:textId="7221E4B6" w:rsidR="001A5FFF" w:rsidRDefault="001A5FFF" w:rsidP="000272C8">
      <w:pPr>
        <w:pStyle w:val="Absatz"/>
        <w:numPr>
          <w:ilvl w:val="0"/>
          <w:numId w:val="10"/>
        </w:numPr>
        <w:spacing w:line="240" w:lineRule="auto"/>
        <w:ind w:left="567" w:hanging="425"/>
        <w:rPr>
          <w:rFonts w:ascii="Arial" w:hAnsi="Arial" w:cs="Arial"/>
          <w:sz w:val="22"/>
          <w:szCs w:val="22"/>
          <w:lang w:val="fr-CH"/>
        </w:rPr>
      </w:pPr>
      <w:r>
        <w:rPr>
          <w:rFonts w:ascii="Arial" w:hAnsi="Arial" w:cs="Arial"/>
          <w:sz w:val="22"/>
          <w:szCs w:val="22"/>
          <w:lang w:val="fr-CH"/>
        </w:rPr>
        <w:t xml:space="preserve">[Pour les GI concernés par le TMS] le contrat-cadre relatif à l’utilisation et au financement du </w:t>
      </w:r>
      <w:proofErr w:type="spellStart"/>
      <w:r w:rsidRPr="001A5FFF">
        <w:rPr>
          <w:rFonts w:ascii="Arial" w:hAnsi="Arial" w:cs="Arial"/>
          <w:i/>
          <w:iCs/>
          <w:sz w:val="22"/>
          <w:szCs w:val="22"/>
          <w:lang w:val="fr-CH"/>
        </w:rPr>
        <w:t>traffic</w:t>
      </w:r>
      <w:proofErr w:type="spellEnd"/>
      <w:r w:rsidRPr="001A5FFF">
        <w:rPr>
          <w:rFonts w:ascii="Arial" w:hAnsi="Arial" w:cs="Arial"/>
          <w:i/>
          <w:iCs/>
          <w:sz w:val="22"/>
          <w:szCs w:val="22"/>
          <w:lang w:val="fr-CH"/>
        </w:rPr>
        <w:t xml:space="preserve"> management system</w:t>
      </w:r>
      <w:r>
        <w:rPr>
          <w:rFonts w:ascii="Arial" w:hAnsi="Arial" w:cs="Arial"/>
          <w:sz w:val="22"/>
          <w:szCs w:val="22"/>
          <w:lang w:val="fr-CH"/>
        </w:rPr>
        <w:t xml:space="preserve"> (TMS) du xxx ;</w:t>
      </w:r>
    </w:p>
    <w:p w14:paraId="19500F28" w14:textId="297F2AD8" w:rsidR="001A5FFF" w:rsidRDefault="001A5FFF" w:rsidP="000272C8">
      <w:pPr>
        <w:pStyle w:val="Absatz"/>
        <w:numPr>
          <w:ilvl w:val="0"/>
          <w:numId w:val="10"/>
        </w:numPr>
        <w:spacing w:line="240" w:lineRule="auto"/>
        <w:ind w:left="567" w:hanging="425"/>
        <w:rPr>
          <w:rFonts w:ascii="Arial" w:hAnsi="Arial" w:cs="Arial"/>
          <w:sz w:val="22"/>
          <w:szCs w:val="22"/>
          <w:lang w:val="fr-CH"/>
        </w:rPr>
      </w:pPr>
      <w:r>
        <w:rPr>
          <w:rFonts w:ascii="Arial" w:hAnsi="Arial" w:cs="Arial"/>
          <w:sz w:val="22"/>
          <w:szCs w:val="22"/>
          <w:lang w:val="fr-CH"/>
        </w:rPr>
        <w:t xml:space="preserve">Les </w:t>
      </w:r>
      <w:r w:rsidR="005F3A2E">
        <w:rPr>
          <w:rFonts w:ascii="Arial" w:hAnsi="Arial" w:cs="Arial"/>
          <w:sz w:val="22"/>
          <w:szCs w:val="22"/>
          <w:lang w:val="fr-CH"/>
        </w:rPr>
        <w:t>actes et documents</w:t>
      </w:r>
      <w:r>
        <w:rPr>
          <w:rFonts w:ascii="Arial" w:hAnsi="Arial" w:cs="Arial"/>
          <w:sz w:val="22"/>
          <w:szCs w:val="22"/>
          <w:lang w:val="fr-CH"/>
        </w:rPr>
        <w:t xml:space="preserve"> publiés sur le site Web de l’OFT, notamment :</w:t>
      </w:r>
    </w:p>
    <w:p w14:paraId="6C902445" w14:textId="7920EEE0" w:rsidR="001A5FFF" w:rsidRDefault="001A5FFF" w:rsidP="0090331E">
      <w:pPr>
        <w:pStyle w:val="Absatz"/>
        <w:numPr>
          <w:ilvl w:val="0"/>
          <w:numId w:val="11"/>
        </w:numPr>
        <w:spacing w:line="240" w:lineRule="auto"/>
        <w:rPr>
          <w:rFonts w:ascii="Arial" w:hAnsi="Arial" w:cs="Arial"/>
          <w:sz w:val="22"/>
          <w:szCs w:val="22"/>
          <w:lang w:val="fr-CH"/>
        </w:rPr>
      </w:pPr>
      <w:r w:rsidRPr="001A5FFF">
        <w:rPr>
          <w:rFonts w:ascii="Arial" w:hAnsi="Arial" w:cs="Arial"/>
          <w:sz w:val="22"/>
          <w:szCs w:val="22"/>
          <w:lang w:val="fr-CH"/>
        </w:rPr>
        <w:t>Ordonnance de l’</w:t>
      </w:r>
      <w:r>
        <w:rPr>
          <w:rFonts w:ascii="Arial" w:hAnsi="Arial" w:cs="Arial"/>
          <w:sz w:val="22"/>
          <w:szCs w:val="22"/>
          <w:lang w:val="fr-CH"/>
        </w:rPr>
        <w:t xml:space="preserve">OFT du 17 mai 2024 </w:t>
      </w:r>
      <w:r w:rsidRPr="001A5FFF">
        <w:rPr>
          <w:rFonts w:ascii="Arial" w:hAnsi="Arial" w:cs="Arial"/>
          <w:sz w:val="22"/>
          <w:szCs w:val="22"/>
          <w:lang w:val="fr-CH"/>
        </w:rPr>
        <w:t xml:space="preserve">sur les dispositions d’exécution de l’ordonnance sur les chemins de fer </w:t>
      </w:r>
      <w:r>
        <w:rPr>
          <w:rFonts w:ascii="Arial" w:hAnsi="Arial" w:cs="Arial"/>
          <w:sz w:val="22"/>
          <w:szCs w:val="22"/>
          <w:lang w:val="fr-CH"/>
        </w:rPr>
        <w:t>(DE-OCF) ;</w:t>
      </w:r>
    </w:p>
    <w:p w14:paraId="716A602B" w14:textId="629FCE77" w:rsidR="001A5FFF" w:rsidRDefault="001A5FFF" w:rsidP="0090331E">
      <w:pPr>
        <w:pStyle w:val="Absatz"/>
        <w:numPr>
          <w:ilvl w:val="0"/>
          <w:numId w:val="11"/>
        </w:numPr>
        <w:spacing w:line="240" w:lineRule="auto"/>
        <w:rPr>
          <w:rFonts w:ascii="Arial" w:hAnsi="Arial" w:cs="Arial"/>
          <w:sz w:val="22"/>
          <w:szCs w:val="22"/>
          <w:lang w:val="fr-CH"/>
        </w:rPr>
      </w:pPr>
      <w:r w:rsidRPr="001A5FFF">
        <w:rPr>
          <w:rFonts w:ascii="Arial" w:hAnsi="Arial" w:cs="Arial"/>
          <w:sz w:val="22"/>
          <w:szCs w:val="22"/>
          <w:lang w:val="fr-CH"/>
        </w:rPr>
        <w:t>Instruction de planification LHand</w:t>
      </w:r>
      <w:r>
        <w:rPr>
          <w:rFonts w:ascii="Arial" w:hAnsi="Arial" w:cs="Arial"/>
          <w:sz w:val="22"/>
          <w:szCs w:val="22"/>
          <w:lang w:val="fr-CH"/>
        </w:rPr>
        <w:t xml:space="preserve"> de l’OFT du 1</w:t>
      </w:r>
      <w:r w:rsidRPr="001A5FFF">
        <w:rPr>
          <w:rFonts w:ascii="Arial" w:hAnsi="Arial" w:cs="Arial"/>
          <w:sz w:val="22"/>
          <w:szCs w:val="22"/>
          <w:vertAlign w:val="superscript"/>
          <w:lang w:val="fr-CH"/>
        </w:rPr>
        <w:t>er</w:t>
      </w:r>
      <w:r w:rsidR="007A4FC7">
        <w:rPr>
          <w:rFonts w:ascii="Arial" w:hAnsi="Arial" w:cs="Arial"/>
          <w:sz w:val="22"/>
          <w:szCs w:val="22"/>
          <w:lang w:val="fr-CH"/>
        </w:rPr>
        <w:t> </w:t>
      </w:r>
      <w:r>
        <w:rPr>
          <w:rFonts w:ascii="Arial" w:hAnsi="Arial" w:cs="Arial"/>
          <w:sz w:val="22"/>
          <w:szCs w:val="22"/>
          <w:lang w:val="fr-CH"/>
        </w:rPr>
        <w:t>septembre</w:t>
      </w:r>
      <w:r w:rsidR="007A4FC7">
        <w:rPr>
          <w:rFonts w:ascii="Arial" w:hAnsi="Arial" w:cs="Arial"/>
          <w:sz w:val="22"/>
          <w:szCs w:val="22"/>
          <w:lang w:val="fr-CH"/>
        </w:rPr>
        <w:t> </w:t>
      </w:r>
      <w:r>
        <w:rPr>
          <w:rFonts w:ascii="Arial" w:hAnsi="Arial" w:cs="Arial"/>
          <w:sz w:val="22"/>
          <w:szCs w:val="22"/>
          <w:lang w:val="fr-CH"/>
        </w:rPr>
        <w:t>2020 ;</w:t>
      </w:r>
    </w:p>
    <w:p w14:paraId="27C09927" w14:textId="7F78F84A" w:rsidR="007A4FC7" w:rsidRPr="001A5FFF" w:rsidRDefault="005F3A2E" w:rsidP="0090331E">
      <w:pPr>
        <w:pStyle w:val="Absatz"/>
        <w:numPr>
          <w:ilvl w:val="0"/>
          <w:numId w:val="11"/>
        </w:numPr>
        <w:spacing w:line="240" w:lineRule="auto"/>
        <w:rPr>
          <w:rFonts w:ascii="Arial" w:hAnsi="Arial" w:cs="Arial"/>
          <w:sz w:val="22"/>
          <w:szCs w:val="22"/>
          <w:lang w:val="fr-CH"/>
        </w:rPr>
      </w:pPr>
      <w:r>
        <w:rPr>
          <w:rFonts w:ascii="Arial" w:hAnsi="Arial" w:cs="Arial"/>
          <w:sz w:val="22"/>
          <w:szCs w:val="22"/>
          <w:lang w:val="fr-CH"/>
        </w:rPr>
        <w:t>C</w:t>
      </w:r>
      <w:r w:rsidR="007A4FC7">
        <w:rPr>
          <w:rFonts w:ascii="Arial" w:hAnsi="Arial" w:cs="Arial"/>
          <w:sz w:val="22"/>
          <w:szCs w:val="22"/>
          <w:lang w:val="fr-CH"/>
        </w:rPr>
        <w:t xml:space="preserve">onception </w:t>
      </w:r>
      <w:r w:rsidR="007A4FC7" w:rsidRPr="007A4FC7">
        <w:rPr>
          <w:rFonts w:ascii="Arial" w:hAnsi="Arial" w:cs="Arial"/>
          <w:sz w:val="22"/>
          <w:szCs w:val="22"/>
          <w:lang w:val="fr-CH"/>
        </w:rPr>
        <w:t xml:space="preserve">du </w:t>
      </w:r>
      <w:r w:rsidR="007A4FC7">
        <w:rPr>
          <w:rFonts w:ascii="Arial" w:hAnsi="Arial" w:cs="Arial"/>
          <w:sz w:val="22"/>
          <w:szCs w:val="22"/>
          <w:lang w:val="fr-CH"/>
        </w:rPr>
        <w:t>20 </w:t>
      </w:r>
      <w:r w:rsidR="007A4FC7" w:rsidRPr="007A4FC7">
        <w:rPr>
          <w:rFonts w:ascii="Arial" w:hAnsi="Arial" w:cs="Arial"/>
          <w:sz w:val="22"/>
          <w:szCs w:val="22"/>
          <w:lang w:val="fr-CH"/>
        </w:rPr>
        <w:t>décembre</w:t>
      </w:r>
      <w:r w:rsidR="007A4FC7">
        <w:rPr>
          <w:rFonts w:ascii="Arial" w:hAnsi="Arial" w:cs="Arial"/>
          <w:sz w:val="22"/>
          <w:szCs w:val="22"/>
          <w:lang w:val="fr-CH"/>
        </w:rPr>
        <w:t> </w:t>
      </w:r>
      <w:r w:rsidR="007A4FC7" w:rsidRPr="007A4FC7">
        <w:rPr>
          <w:rFonts w:ascii="Arial" w:hAnsi="Arial" w:cs="Arial"/>
          <w:sz w:val="22"/>
          <w:szCs w:val="22"/>
          <w:lang w:val="fr-CH"/>
        </w:rPr>
        <w:t>2017</w:t>
      </w:r>
      <w:r w:rsidR="007A4FC7">
        <w:rPr>
          <w:rFonts w:ascii="Arial" w:hAnsi="Arial" w:cs="Arial"/>
          <w:sz w:val="22"/>
          <w:szCs w:val="22"/>
          <w:lang w:val="fr-CH"/>
        </w:rPr>
        <w:t xml:space="preserve"> pour le fret ferroviaire et les répertoires ad hoc des installations du fret ferroviaires du 2 décembre 2020.</w:t>
      </w:r>
    </w:p>
    <w:p w14:paraId="3179192F" w14:textId="27CA0E04"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lastRenderedPageBreak/>
        <w:t>Art.</w:t>
      </w:r>
      <w:r w:rsidR="00CF1751">
        <w:rPr>
          <w:rFonts w:ascii="Arial" w:hAnsi="Arial" w:cs="Arial"/>
          <w:b/>
          <w:i w:val="0"/>
          <w:sz w:val="22"/>
          <w:lang w:val="fr-CH"/>
        </w:rPr>
        <w:t> </w:t>
      </w:r>
      <w:r w:rsidRPr="00E4385B">
        <w:rPr>
          <w:rFonts w:ascii="Arial" w:hAnsi="Arial" w:cs="Arial"/>
          <w:b/>
          <w:i w:val="0"/>
          <w:sz w:val="22"/>
          <w:lang w:val="fr-CH"/>
        </w:rPr>
        <w:t xml:space="preserve"> 3</w:t>
      </w:r>
      <w:r w:rsidRPr="00E4385B">
        <w:rPr>
          <w:rFonts w:ascii="Arial" w:hAnsi="Arial" w:cs="Arial"/>
          <w:b/>
          <w:sz w:val="22"/>
          <w:lang w:val="fr-CH"/>
        </w:rPr>
        <w:tab/>
      </w:r>
      <w:r w:rsidR="00CF1751">
        <w:rPr>
          <w:rFonts w:ascii="Arial" w:hAnsi="Arial" w:cs="Arial"/>
          <w:b/>
          <w:i w:val="0"/>
          <w:sz w:val="22"/>
          <w:lang w:val="fr-CH"/>
        </w:rPr>
        <w:t>Conditions-cadre</w:t>
      </w:r>
    </w:p>
    <w:p w14:paraId="7AB55780" w14:textId="0862634B" w:rsidR="00CF1751" w:rsidRPr="00CF1751" w:rsidRDefault="00CF1751" w:rsidP="00CF1751">
      <w:pPr>
        <w:pStyle w:val="Absatz"/>
        <w:spacing w:line="240" w:lineRule="auto"/>
        <w:rPr>
          <w:rFonts w:ascii="Arial" w:hAnsi="Arial" w:cs="Arial"/>
          <w:sz w:val="22"/>
          <w:szCs w:val="22"/>
          <w:lang w:val="fr-CH"/>
        </w:rPr>
      </w:pPr>
      <w:r w:rsidRPr="00CF1751">
        <w:rPr>
          <w:rFonts w:ascii="Arial" w:hAnsi="Arial" w:cs="Arial"/>
          <w:sz w:val="22"/>
          <w:szCs w:val="22"/>
          <w:lang w:val="fr-CH"/>
        </w:rPr>
        <w:t>Les conditions-cadre essentielles pour fixer les prestations des parties sont les suivantes</w:t>
      </w:r>
      <w:r>
        <w:rPr>
          <w:rFonts w:ascii="Arial" w:hAnsi="Arial" w:cs="Arial"/>
          <w:sz w:val="22"/>
          <w:szCs w:val="22"/>
          <w:lang w:val="fr-CH"/>
        </w:rPr>
        <w:t> </w:t>
      </w:r>
      <w:r w:rsidRPr="00CF1751">
        <w:rPr>
          <w:rFonts w:ascii="Arial" w:hAnsi="Arial" w:cs="Arial"/>
          <w:sz w:val="22"/>
          <w:szCs w:val="22"/>
          <w:lang w:val="fr-CH"/>
        </w:rPr>
        <w:t>:</w:t>
      </w:r>
    </w:p>
    <w:p w14:paraId="19EACD4D" w14:textId="5EDA24E5" w:rsidR="00CF1751" w:rsidRPr="00CF1751" w:rsidRDefault="00CF1751" w:rsidP="00CF1751">
      <w:pPr>
        <w:tabs>
          <w:tab w:val="left" w:pos="567"/>
        </w:tabs>
        <w:spacing w:before="80" w:line="240" w:lineRule="auto"/>
        <w:ind w:left="567" w:hanging="357"/>
        <w:jc w:val="both"/>
        <w:rPr>
          <w:rFonts w:eastAsia="Times New Roman"/>
          <w:sz w:val="22"/>
          <w:lang w:val="fr-CH" w:eastAsia="de-DE"/>
        </w:rPr>
      </w:pPr>
      <w:r w:rsidRPr="00CF1751">
        <w:rPr>
          <w:rFonts w:eastAsia="Times New Roman"/>
          <w:sz w:val="22"/>
          <w:lang w:val="fr-CH" w:eastAsia="de-DE"/>
        </w:rPr>
        <w:t>a.</w:t>
      </w:r>
      <w:r w:rsidRPr="00CF1751">
        <w:rPr>
          <w:rFonts w:eastAsia="Times New Roman"/>
          <w:sz w:val="22"/>
          <w:lang w:val="fr-CH" w:eastAsia="de-DE"/>
        </w:rPr>
        <w:tab/>
        <w:t>prix du sillon, dont le montant est déterminé par l’OARF révisée au 1</w:t>
      </w:r>
      <w:r w:rsidRPr="00CF1751">
        <w:rPr>
          <w:rFonts w:eastAsia="Times New Roman"/>
          <w:sz w:val="22"/>
          <w:vertAlign w:val="superscript"/>
          <w:lang w:val="fr-CH" w:eastAsia="de-DE"/>
        </w:rPr>
        <w:t>er</w:t>
      </w:r>
      <w:r w:rsidRPr="00CF1751">
        <w:rPr>
          <w:rFonts w:eastAsia="Times New Roman"/>
          <w:sz w:val="22"/>
          <w:lang w:val="fr-CH" w:eastAsia="de-DE"/>
        </w:rPr>
        <w:t> janvier</w:t>
      </w:r>
      <w:r>
        <w:rPr>
          <w:rFonts w:eastAsia="Times New Roman"/>
          <w:sz w:val="22"/>
          <w:lang w:val="fr-CH" w:eastAsia="de-DE"/>
        </w:rPr>
        <w:t> </w:t>
      </w:r>
      <w:r w:rsidRPr="00CF1751">
        <w:rPr>
          <w:rFonts w:eastAsia="Times New Roman"/>
          <w:sz w:val="22"/>
          <w:lang w:val="fr-CH" w:eastAsia="de-DE"/>
        </w:rPr>
        <w:t>202</w:t>
      </w:r>
      <w:r w:rsidR="009C5F51">
        <w:rPr>
          <w:rFonts w:eastAsia="Times New Roman"/>
          <w:sz w:val="22"/>
          <w:lang w:val="fr-CH" w:eastAsia="de-DE"/>
        </w:rPr>
        <w:t>5</w:t>
      </w:r>
      <w:r w:rsidRPr="00CF1751">
        <w:rPr>
          <w:rFonts w:eastAsia="Times New Roman"/>
          <w:sz w:val="22"/>
          <w:lang w:val="fr-CH" w:eastAsia="de-DE"/>
        </w:rPr>
        <w:t xml:space="preserve"> et par l’OARF-</w:t>
      </w:r>
      <w:r>
        <w:rPr>
          <w:rFonts w:eastAsia="Times New Roman"/>
          <w:sz w:val="22"/>
          <w:lang w:val="fr-CH" w:eastAsia="de-DE"/>
        </w:rPr>
        <w:t>OFT </w:t>
      </w:r>
      <w:r w:rsidRPr="00CF1751">
        <w:rPr>
          <w:rFonts w:eastAsia="Times New Roman"/>
          <w:sz w:val="22"/>
          <w:lang w:val="fr-CH" w:eastAsia="de-DE"/>
        </w:rPr>
        <w:t>; les dispositions ci-après s’appliquent pour toute la durée de la présente convention sur les prestations</w:t>
      </w:r>
      <w:r>
        <w:rPr>
          <w:rFonts w:eastAsia="Times New Roman"/>
          <w:sz w:val="22"/>
          <w:lang w:val="fr-CH" w:eastAsia="de-DE"/>
        </w:rPr>
        <w:t> </w:t>
      </w:r>
      <w:r w:rsidRPr="00CF1751">
        <w:rPr>
          <w:rFonts w:eastAsia="Times New Roman"/>
          <w:sz w:val="22"/>
          <w:lang w:val="fr-CH" w:eastAsia="de-DE"/>
        </w:rPr>
        <w:t>:</w:t>
      </w:r>
    </w:p>
    <w:p w14:paraId="5FD2C9EE" w14:textId="27C27860" w:rsidR="00CF1751" w:rsidRPr="00CF1751" w:rsidRDefault="00CF1751" w:rsidP="00CF1751">
      <w:pPr>
        <w:tabs>
          <w:tab w:val="left" w:pos="924"/>
        </w:tabs>
        <w:spacing w:before="80" w:line="240" w:lineRule="auto"/>
        <w:ind w:left="924" w:hanging="357"/>
        <w:jc w:val="both"/>
        <w:rPr>
          <w:rFonts w:eastAsia="Times New Roman"/>
          <w:sz w:val="22"/>
          <w:lang w:val="fr-CH" w:eastAsia="de-DE"/>
        </w:rPr>
      </w:pPr>
      <w:r w:rsidRPr="00CF1751">
        <w:rPr>
          <w:rFonts w:eastAsia="Times New Roman"/>
          <w:sz w:val="22"/>
          <w:lang w:val="fr-CH" w:eastAsia="de-DE"/>
        </w:rPr>
        <w:t>1.</w:t>
      </w:r>
      <w:r w:rsidRPr="00CF1751">
        <w:rPr>
          <w:rFonts w:eastAsia="Times New Roman"/>
          <w:sz w:val="22"/>
          <w:lang w:val="fr-CH" w:eastAsia="de-DE"/>
        </w:rPr>
        <w:tab/>
        <w:t>contribution de couverture du transport régional de voyageurs</w:t>
      </w:r>
      <w:r>
        <w:rPr>
          <w:rFonts w:eastAsia="Times New Roman"/>
          <w:sz w:val="22"/>
          <w:lang w:val="fr-CH" w:eastAsia="de-DE"/>
        </w:rPr>
        <w:t> </w:t>
      </w:r>
      <w:r w:rsidRPr="00CF1751">
        <w:rPr>
          <w:rFonts w:eastAsia="Times New Roman"/>
          <w:sz w:val="22"/>
          <w:lang w:val="fr-CH" w:eastAsia="de-DE"/>
        </w:rPr>
        <w:t>: 8 % des produits déterminants du transport</w:t>
      </w:r>
      <w:r>
        <w:rPr>
          <w:rFonts w:eastAsia="Times New Roman"/>
          <w:sz w:val="22"/>
          <w:lang w:val="fr-CH" w:eastAsia="de-DE"/>
        </w:rPr>
        <w:t> </w:t>
      </w:r>
      <w:r w:rsidRPr="00CF1751">
        <w:rPr>
          <w:rFonts w:eastAsia="Times New Roman"/>
          <w:sz w:val="22"/>
          <w:lang w:val="fr-CH" w:eastAsia="de-DE"/>
        </w:rPr>
        <w:t>;</w:t>
      </w:r>
    </w:p>
    <w:p w14:paraId="349989D3" w14:textId="549FA345" w:rsidR="00CF1751" w:rsidRPr="00CF1751" w:rsidRDefault="00CF1751" w:rsidP="00CF1751">
      <w:pPr>
        <w:tabs>
          <w:tab w:val="left" w:pos="924"/>
        </w:tabs>
        <w:spacing w:before="80" w:line="240" w:lineRule="auto"/>
        <w:ind w:left="924" w:hanging="357"/>
        <w:jc w:val="both"/>
        <w:rPr>
          <w:rFonts w:eastAsia="Times New Roman"/>
          <w:sz w:val="22"/>
          <w:lang w:val="fr-CH" w:eastAsia="de-DE"/>
        </w:rPr>
      </w:pPr>
      <w:r w:rsidRPr="00CF1751">
        <w:rPr>
          <w:rFonts w:eastAsia="Times New Roman"/>
          <w:sz w:val="22"/>
          <w:lang w:val="fr-CH" w:eastAsia="de-DE"/>
        </w:rPr>
        <w:t>2.</w:t>
      </w:r>
      <w:r w:rsidRPr="00CF1751">
        <w:rPr>
          <w:rFonts w:eastAsia="Times New Roman"/>
          <w:sz w:val="22"/>
          <w:lang w:val="fr-CH" w:eastAsia="de-DE"/>
        </w:rPr>
        <w:tab/>
        <w:t>contribution de couverture du tra</w:t>
      </w:r>
      <w:r>
        <w:rPr>
          <w:rFonts w:eastAsia="Times New Roman"/>
          <w:sz w:val="22"/>
          <w:lang w:val="fr-CH" w:eastAsia="de-DE"/>
        </w:rPr>
        <w:t>nsport des</w:t>
      </w:r>
      <w:r w:rsidRPr="00CF1751">
        <w:rPr>
          <w:rFonts w:eastAsia="Times New Roman"/>
          <w:sz w:val="22"/>
          <w:lang w:val="fr-CH" w:eastAsia="de-DE"/>
        </w:rPr>
        <w:t xml:space="preserve"> voyageurs </w:t>
      </w:r>
      <w:r>
        <w:rPr>
          <w:rFonts w:eastAsia="Times New Roman"/>
          <w:sz w:val="22"/>
          <w:lang w:val="fr-CH" w:eastAsia="de-DE"/>
        </w:rPr>
        <w:t>grandes lignes et du chargement des automobiles selon les dispositions correspondantes des concessions </w:t>
      </w:r>
      <w:r w:rsidRPr="00CF1751">
        <w:rPr>
          <w:rFonts w:eastAsia="Times New Roman"/>
          <w:sz w:val="22"/>
          <w:lang w:val="fr-CH" w:eastAsia="de-DE"/>
        </w:rPr>
        <w:t>;</w:t>
      </w:r>
    </w:p>
    <w:p w14:paraId="01493FBE" w14:textId="5310D6CB" w:rsidR="00CF1751" w:rsidRPr="00CF1751" w:rsidRDefault="00CF1751" w:rsidP="00CF1751">
      <w:pPr>
        <w:tabs>
          <w:tab w:val="left" w:pos="924"/>
        </w:tabs>
        <w:spacing w:before="80" w:line="240" w:lineRule="auto"/>
        <w:ind w:left="924" w:hanging="357"/>
        <w:jc w:val="both"/>
        <w:rPr>
          <w:rFonts w:eastAsia="Times New Roman"/>
          <w:sz w:val="22"/>
          <w:lang w:val="fr-CH" w:eastAsia="de-DE"/>
        </w:rPr>
      </w:pPr>
      <w:r w:rsidRPr="00CF1751">
        <w:rPr>
          <w:rFonts w:eastAsia="Times New Roman"/>
          <w:sz w:val="22"/>
          <w:lang w:val="fr-CH" w:eastAsia="de-DE"/>
        </w:rPr>
        <w:t>3.</w:t>
      </w:r>
      <w:r w:rsidRPr="00CF1751">
        <w:rPr>
          <w:rFonts w:eastAsia="Times New Roman"/>
          <w:sz w:val="22"/>
          <w:lang w:val="fr-CH" w:eastAsia="de-DE"/>
        </w:rPr>
        <w:tab/>
        <w:t xml:space="preserve">l’approvisionnement en énergie des entreprises de transport ferroviaire (ETF) ne doit pas causer de coûts non couverts dans le secteur Infrastructure. En même temps, il ne faut pas viser des bénéfices dans ce domaine mais un résultat équilibré pour le secteur Infrastructure. Le prix par kWh fixé dans l’OARF-OFT prend en compte le prix à partir </w:t>
      </w:r>
      <w:r>
        <w:rPr>
          <w:rFonts w:eastAsia="Times New Roman"/>
          <w:sz w:val="22"/>
          <w:lang w:val="fr-CH" w:eastAsia="de-DE"/>
        </w:rPr>
        <w:t>du fil de contact</w:t>
      </w:r>
      <w:r w:rsidRPr="00CF1751">
        <w:rPr>
          <w:rFonts w:eastAsia="Times New Roman"/>
          <w:sz w:val="22"/>
          <w:lang w:val="fr-CH" w:eastAsia="de-DE"/>
        </w:rPr>
        <w:t xml:space="preserve"> pour le courant monophasé. Si pour les chemins de fer à courant continu, les recettes correspondantes ne suffisent pas ou qu’elles dépassent clairement le prix de revient du secteur Infrastructure, il y a lieu de présenter à l’OFT, au préalable et en temps utile, une demande d’autorisation d’un prix d’énergie différent de celui fixé dans l’OARF-OFT (art. 3, al.</w:t>
      </w:r>
      <w:r>
        <w:rPr>
          <w:rFonts w:eastAsia="Times New Roman"/>
          <w:sz w:val="22"/>
          <w:lang w:val="fr-CH" w:eastAsia="de-DE"/>
        </w:rPr>
        <w:t> </w:t>
      </w:r>
      <w:r w:rsidRPr="00CF1751">
        <w:rPr>
          <w:rFonts w:eastAsia="Times New Roman"/>
          <w:sz w:val="22"/>
          <w:lang w:val="fr-CH" w:eastAsia="de-DE"/>
        </w:rPr>
        <w:t>2, OARF-OFT)</w:t>
      </w:r>
      <w:r>
        <w:rPr>
          <w:rFonts w:eastAsia="Times New Roman"/>
          <w:sz w:val="22"/>
          <w:lang w:val="fr-CH" w:eastAsia="de-DE"/>
        </w:rPr>
        <w:t> ;</w:t>
      </w:r>
    </w:p>
    <w:p w14:paraId="721F1890" w14:textId="480D1DCF" w:rsidR="00CF1751" w:rsidRPr="00CF1751" w:rsidRDefault="00CF1751" w:rsidP="00CF1751">
      <w:pPr>
        <w:pStyle w:val="Struktur1"/>
        <w:spacing w:line="240" w:lineRule="auto"/>
        <w:rPr>
          <w:rFonts w:ascii="Arial" w:hAnsi="Arial" w:cs="Arial"/>
          <w:sz w:val="22"/>
          <w:szCs w:val="22"/>
          <w:lang w:val="fr-CH"/>
        </w:rPr>
      </w:pPr>
      <w:r w:rsidRPr="00CF1751">
        <w:rPr>
          <w:rFonts w:ascii="Arial" w:hAnsi="Arial" w:cs="Arial"/>
          <w:sz w:val="22"/>
          <w:szCs w:val="22"/>
          <w:lang w:val="fr-CH"/>
        </w:rPr>
        <w:t>b.</w:t>
      </w:r>
      <w:r w:rsidRPr="00CF1751">
        <w:rPr>
          <w:rFonts w:ascii="Arial" w:hAnsi="Arial" w:cs="Arial"/>
          <w:sz w:val="22"/>
          <w:szCs w:val="22"/>
          <w:lang w:val="fr-CH"/>
        </w:rPr>
        <w:tab/>
        <w:t>autres conditions-cadre financières</w:t>
      </w:r>
      <w:r>
        <w:rPr>
          <w:rFonts w:ascii="Arial" w:hAnsi="Arial" w:cs="Arial"/>
          <w:sz w:val="22"/>
          <w:szCs w:val="22"/>
          <w:lang w:val="fr-CH"/>
        </w:rPr>
        <w:t> </w:t>
      </w:r>
      <w:r w:rsidRPr="00CF1751">
        <w:rPr>
          <w:rFonts w:ascii="Arial" w:hAnsi="Arial" w:cs="Arial"/>
          <w:sz w:val="22"/>
          <w:szCs w:val="22"/>
          <w:lang w:val="fr-CH"/>
        </w:rPr>
        <w:t>:</w:t>
      </w:r>
    </w:p>
    <w:p w14:paraId="2DFE4387" w14:textId="71C64253" w:rsidR="00CF1751" w:rsidRPr="00CF1751" w:rsidRDefault="00CF1751" w:rsidP="00CF1751">
      <w:pPr>
        <w:pStyle w:val="Struktur2"/>
        <w:spacing w:before="80" w:line="240" w:lineRule="auto"/>
        <w:rPr>
          <w:rFonts w:ascii="Arial" w:hAnsi="Arial" w:cs="Arial"/>
          <w:sz w:val="22"/>
          <w:szCs w:val="22"/>
          <w:lang w:val="fr-CH"/>
        </w:rPr>
      </w:pPr>
      <w:r w:rsidRPr="00CF1751">
        <w:rPr>
          <w:rFonts w:ascii="Arial" w:hAnsi="Arial" w:cs="Arial"/>
          <w:sz w:val="22"/>
          <w:szCs w:val="22"/>
          <w:lang w:val="fr-CH"/>
        </w:rPr>
        <w:t>1.</w:t>
      </w:r>
      <w:r w:rsidRPr="00CF1751">
        <w:rPr>
          <w:rFonts w:ascii="Arial" w:hAnsi="Arial" w:cs="Arial"/>
          <w:sz w:val="22"/>
          <w:szCs w:val="22"/>
          <w:lang w:val="fr-CH"/>
        </w:rPr>
        <w:tab/>
        <w:t>[Texte-type pour les entreprises concernées</w:t>
      </w:r>
      <w:r>
        <w:rPr>
          <w:rFonts w:ascii="Arial" w:hAnsi="Arial" w:cs="Arial"/>
          <w:sz w:val="22"/>
          <w:szCs w:val="22"/>
          <w:lang w:val="fr-CH"/>
        </w:rPr>
        <w:t> </w:t>
      </w:r>
      <w:r w:rsidRPr="00CF1751">
        <w:rPr>
          <w:rFonts w:ascii="Arial" w:hAnsi="Arial" w:cs="Arial"/>
          <w:sz w:val="22"/>
          <w:szCs w:val="22"/>
          <w:lang w:val="fr-CH"/>
        </w:rPr>
        <w:t>; adapter la formulation à la situation de la caisse de pensions de l’entreprise] La caisse de pensions de l’entreprise fait état d’un taux de couverture de XX % au 31</w:t>
      </w:r>
      <w:r w:rsidR="009C5F51">
        <w:rPr>
          <w:rFonts w:ascii="Arial" w:hAnsi="Arial" w:cs="Arial"/>
          <w:sz w:val="22"/>
          <w:szCs w:val="22"/>
          <w:lang w:val="fr-CH"/>
        </w:rPr>
        <w:t> décembre </w:t>
      </w:r>
      <w:r w:rsidRPr="00CF1751">
        <w:rPr>
          <w:rFonts w:ascii="Arial" w:hAnsi="Arial" w:cs="Arial"/>
          <w:sz w:val="22"/>
          <w:szCs w:val="22"/>
          <w:lang w:val="fr-CH"/>
        </w:rPr>
        <w:t>20</w:t>
      </w:r>
      <w:r>
        <w:rPr>
          <w:rFonts w:ascii="Arial" w:hAnsi="Arial" w:cs="Arial"/>
          <w:sz w:val="22"/>
          <w:szCs w:val="22"/>
          <w:lang w:val="fr-CH"/>
        </w:rPr>
        <w:t>23</w:t>
      </w:r>
      <w:r w:rsidRPr="00CF1751">
        <w:rPr>
          <w:rFonts w:ascii="Arial" w:hAnsi="Arial" w:cs="Arial"/>
          <w:sz w:val="22"/>
          <w:szCs w:val="22"/>
          <w:lang w:val="fr-CH"/>
        </w:rPr>
        <w:t>.</w:t>
      </w:r>
    </w:p>
    <w:p w14:paraId="0E7150C3" w14:textId="41CC1E6A" w:rsidR="00CF1751" w:rsidRPr="00CF1751" w:rsidRDefault="00CF1751" w:rsidP="00CF1751">
      <w:pPr>
        <w:pStyle w:val="Struktur2"/>
        <w:spacing w:before="80" w:line="240" w:lineRule="auto"/>
        <w:rPr>
          <w:rFonts w:ascii="Arial" w:hAnsi="Arial" w:cs="Arial"/>
          <w:sz w:val="22"/>
          <w:szCs w:val="22"/>
          <w:lang w:val="fr-CH"/>
        </w:rPr>
      </w:pPr>
      <w:r w:rsidRPr="00CF1751">
        <w:rPr>
          <w:rFonts w:ascii="Arial" w:hAnsi="Arial" w:cs="Arial"/>
          <w:sz w:val="22"/>
          <w:szCs w:val="22"/>
          <w:lang w:val="fr-CH"/>
        </w:rPr>
        <w:t xml:space="preserve">2. </w:t>
      </w:r>
      <w:r w:rsidRPr="00CF1751">
        <w:rPr>
          <w:rFonts w:ascii="Arial" w:hAnsi="Arial" w:cs="Arial"/>
          <w:sz w:val="22"/>
          <w:szCs w:val="22"/>
          <w:lang w:val="fr-CH"/>
        </w:rPr>
        <w:tab/>
        <w:t>[versements compensatoires CFF Immobilier</w:t>
      </w:r>
      <w:r>
        <w:rPr>
          <w:rFonts w:ascii="Arial" w:hAnsi="Arial" w:cs="Arial"/>
          <w:sz w:val="22"/>
          <w:szCs w:val="22"/>
          <w:lang w:val="fr-CH"/>
        </w:rPr>
        <w:t> </w:t>
      </w:r>
      <w:r w:rsidRPr="00CF1751">
        <w:rPr>
          <w:rFonts w:ascii="Arial" w:hAnsi="Arial" w:cs="Arial"/>
          <w:sz w:val="22"/>
          <w:szCs w:val="22"/>
          <w:lang w:val="fr-CH"/>
        </w:rPr>
        <w:t xml:space="preserve">; prise en compte des avantages </w:t>
      </w:r>
      <w:proofErr w:type="spellStart"/>
      <w:r w:rsidRPr="00CF1751">
        <w:rPr>
          <w:rFonts w:ascii="Arial" w:hAnsi="Arial" w:cs="Arial"/>
          <w:sz w:val="22"/>
          <w:szCs w:val="22"/>
          <w:lang w:val="fr-CH"/>
        </w:rPr>
        <w:t>ZVV</w:t>
      </w:r>
      <w:proofErr w:type="spellEnd"/>
      <w:r w:rsidR="008343C1">
        <w:rPr>
          <w:rFonts w:ascii="Arial" w:hAnsi="Arial" w:cs="Arial"/>
          <w:sz w:val="22"/>
          <w:szCs w:val="22"/>
          <w:lang w:val="fr-CH"/>
        </w:rPr>
        <w:t> </w:t>
      </w:r>
      <w:r w:rsidRPr="00CF1751">
        <w:rPr>
          <w:rFonts w:ascii="Arial" w:hAnsi="Arial" w:cs="Arial"/>
          <w:sz w:val="22"/>
          <w:szCs w:val="22"/>
          <w:lang w:val="fr-CH"/>
        </w:rPr>
        <w:t xml:space="preserve">; </w:t>
      </w:r>
      <w:proofErr w:type="spellStart"/>
      <w:r w:rsidRPr="00CF1751">
        <w:rPr>
          <w:rFonts w:ascii="Arial" w:hAnsi="Arial" w:cs="Arial"/>
          <w:sz w:val="22"/>
          <w:szCs w:val="22"/>
          <w:lang w:val="fr-CH"/>
        </w:rPr>
        <w:t>év</w:t>
      </w:r>
      <w:proofErr w:type="spellEnd"/>
      <w:r w:rsidRPr="00CF1751">
        <w:rPr>
          <w:rFonts w:ascii="Arial" w:hAnsi="Arial" w:cs="Arial"/>
          <w:sz w:val="22"/>
          <w:szCs w:val="22"/>
          <w:lang w:val="fr-CH"/>
        </w:rPr>
        <w:t xml:space="preserve">. </w:t>
      </w:r>
      <w:proofErr w:type="gramStart"/>
      <w:r w:rsidRPr="00CF1751">
        <w:rPr>
          <w:rFonts w:ascii="Arial" w:hAnsi="Arial" w:cs="Arial"/>
          <w:sz w:val="22"/>
          <w:szCs w:val="22"/>
          <w:lang w:val="fr-CH"/>
        </w:rPr>
        <w:t>contributions</w:t>
      </w:r>
      <w:proofErr w:type="gramEnd"/>
      <w:r w:rsidRPr="00CF1751">
        <w:rPr>
          <w:rFonts w:ascii="Arial" w:hAnsi="Arial" w:cs="Arial"/>
          <w:sz w:val="22"/>
          <w:szCs w:val="22"/>
          <w:lang w:val="fr-CH"/>
        </w:rPr>
        <w:t xml:space="preserve"> de tiers pour compléments souhaités etc.] </w:t>
      </w:r>
    </w:p>
    <w:p w14:paraId="2C33FD97" w14:textId="2A17257F" w:rsidR="00CF1751" w:rsidRPr="00CF1751" w:rsidRDefault="00CF1751" w:rsidP="00CF1751">
      <w:pPr>
        <w:pStyle w:val="Struktur2"/>
        <w:spacing w:before="80" w:line="240" w:lineRule="auto"/>
        <w:rPr>
          <w:rFonts w:ascii="Arial" w:hAnsi="Arial" w:cs="Arial"/>
          <w:sz w:val="22"/>
          <w:szCs w:val="22"/>
          <w:lang w:val="fr-CH"/>
        </w:rPr>
      </w:pPr>
      <w:r w:rsidRPr="00CF1751">
        <w:rPr>
          <w:rFonts w:ascii="Arial" w:hAnsi="Arial" w:cs="Arial"/>
          <w:sz w:val="22"/>
          <w:szCs w:val="22"/>
          <w:lang w:val="fr-CH"/>
        </w:rPr>
        <w:t>3.</w:t>
      </w:r>
      <w:r w:rsidRPr="00CF1751">
        <w:rPr>
          <w:rFonts w:ascii="Arial" w:hAnsi="Arial" w:cs="Arial"/>
          <w:sz w:val="22"/>
          <w:szCs w:val="22"/>
          <w:lang w:val="fr-CH"/>
        </w:rPr>
        <w:tab/>
        <w:t>En vertu de l’art.</w:t>
      </w:r>
      <w:r>
        <w:rPr>
          <w:rFonts w:ascii="Arial" w:hAnsi="Arial" w:cs="Arial"/>
          <w:sz w:val="22"/>
          <w:szCs w:val="22"/>
          <w:lang w:val="fr-CH"/>
        </w:rPr>
        <w:t> </w:t>
      </w:r>
      <w:r w:rsidRPr="00CF1751">
        <w:rPr>
          <w:rFonts w:ascii="Arial" w:hAnsi="Arial" w:cs="Arial"/>
          <w:sz w:val="22"/>
          <w:szCs w:val="22"/>
          <w:lang w:val="fr-CH"/>
        </w:rPr>
        <w:t>59 LCdF ainsi que des art.</w:t>
      </w:r>
      <w:r>
        <w:rPr>
          <w:rFonts w:ascii="Arial" w:hAnsi="Arial" w:cs="Arial"/>
          <w:sz w:val="22"/>
          <w:szCs w:val="22"/>
          <w:lang w:val="fr-CH"/>
        </w:rPr>
        <w:t> </w:t>
      </w:r>
      <w:r w:rsidRPr="00CF1751">
        <w:rPr>
          <w:rFonts w:ascii="Arial" w:hAnsi="Arial" w:cs="Arial"/>
          <w:sz w:val="22"/>
          <w:szCs w:val="22"/>
          <w:lang w:val="fr-CH"/>
        </w:rPr>
        <w:t>39 à 41 OCPF, la Confédération peut accorder des aides financières en cas de dommages causés par des phénomènes naturels</w:t>
      </w:r>
      <w:r w:rsidRPr="008D722D">
        <w:rPr>
          <w:lang w:val="fr-CH"/>
        </w:rPr>
        <w:t xml:space="preserve"> </w:t>
      </w:r>
      <w:r w:rsidR="009C5F51">
        <w:rPr>
          <w:rFonts w:ascii="Arial" w:hAnsi="Arial" w:cs="Arial"/>
          <w:sz w:val="22"/>
          <w:szCs w:val="22"/>
          <w:lang w:val="fr-CH"/>
        </w:rPr>
        <w:t>si</w:t>
      </w:r>
      <w:r w:rsidR="009C5F51" w:rsidRPr="00CF1751">
        <w:rPr>
          <w:rFonts w:ascii="Arial" w:hAnsi="Arial" w:cs="Arial"/>
          <w:sz w:val="22"/>
          <w:szCs w:val="22"/>
          <w:lang w:val="fr-CH"/>
        </w:rPr>
        <w:t xml:space="preserve"> </w:t>
      </w:r>
      <w:r w:rsidRPr="00CF1751">
        <w:rPr>
          <w:rFonts w:ascii="Arial" w:hAnsi="Arial" w:cs="Arial"/>
          <w:sz w:val="22"/>
          <w:szCs w:val="22"/>
          <w:lang w:val="fr-CH"/>
        </w:rPr>
        <w:t>la réparation des</w:t>
      </w:r>
      <w:r w:rsidR="00C74636">
        <w:rPr>
          <w:rFonts w:ascii="Arial" w:hAnsi="Arial" w:cs="Arial"/>
          <w:sz w:val="22"/>
          <w:szCs w:val="22"/>
          <w:lang w:val="fr-CH"/>
        </w:rPr>
        <w:t>dits</w:t>
      </w:r>
      <w:r w:rsidRPr="00CF1751">
        <w:rPr>
          <w:rFonts w:ascii="Arial" w:hAnsi="Arial" w:cs="Arial"/>
          <w:sz w:val="22"/>
          <w:szCs w:val="22"/>
          <w:lang w:val="fr-CH"/>
        </w:rPr>
        <w:t xml:space="preserve"> dommages dépasse les moyens financiers des gestionnaires d’infrastructure</w:t>
      </w:r>
      <w:r w:rsidR="00C74636">
        <w:rPr>
          <w:rFonts w:ascii="Arial" w:hAnsi="Arial" w:cs="Arial"/>
          <w:sz w:val="22"/>
          <w:szCs w:val="22"/>
          <w:lang w:val="fr-CH"/>
        </w:rPr>
        <w:t xml:space="preserve"> (GI)</w:t>
      </w:r>
      <w:r w:rsidRPr="00CF1751">
        <w:rPr>
          <w:rFonts w:ascii="Arial" w:hAnsi="Arial" w:cs="Arial"/>
          <w:sz w:val="22"/>
          <w:szCs w:val="22"/>
          <w:lang w:val="fr-CH"/>
        </w:rPr>
        <w:t xml:space="preserve">. En raison de ces aides, les </w:t>
      </w:r>
      <w:r w:rsidR="00C74636">
        <w:rPr>
          <w:rFonts w:ascii="Arial" w:hAnsi="Arial" w:cs="Arial"/>
          <w:sz w:val="22"/>
          <w:szCs w:val="22"/>
          <w:lang w:val="fr-CH"/>
        </w:rPr>
        <w:t>GI</w:t>
      </w:r>
      <w:r w:rsidRPr="00CF1751">
        <w:rPr>
          <w:rFonts w:ascii="Arial" w:hAnsi="Arial" w:cs="Arial"/>
          <w:sz w:val="22"/>
          <w:szCs w:val="22"/>
          <w:lang w:val="fr-CH"/>
        </w:rPr>
        <w:t xml:space="preserve"> sont tenus de renoncer à la conclusion d’assurances concernant l’infrastructure conformément à l’art.</w:t>
      </w:r>
      <w:r w:rsidR="00C74636">
        <w:rPr>
          <w:rFonts w:ascii="Arial" w:hAnsi="Arial" w:cs="Arial"/>
          <w:sz w:val="22"/>
          <w:szCs w:val="22"/>
          <w:lang w:val="fr-CH"/>
        </w:rPr>
        <w:t> </w:t>
      </w:r>
      <w:r w:rsidRPr="00CF1751">
        <w:rPr>
          <w:rFonts w:ascii="Arial" w:hAnsi="Arial" w:cs="Arial"/>
          <w:sz w:val="22"/>
          <w:szCs w:val="22"/>
          <w:lang w:val="fr-CH"/>
        </w:rPr>
        <w:t>62, al.</w:t>
      </w:r>
      <w:r w:rsidR="00C74636">
        <w:rPr>
          <w:rFonts w:ascii="Arial" w:hAnsi="Arial" w:cs="Arial"/>
          <w:sz w:val="22"/>
          <w:szCs w:val="22"/>
          <w:lang w:val="fr-CH"/>
        </w:rPr>
        <w:t> </w:t>
      </w:r>
      <w:r w:rsidRPr="00CF1751">
        <w:rPr>
          <w:rFonts w:ascii="Arial" w:hAnsi="Arial" w:cs="Arial"/>
          <w:sz w:val="22"/>
          <w:szCs w:val="22"/>
          <w:lang w:val="fr-CH"/>
        </w:rPr>
        <w:t xml:space="preserve">1, LCdF, utilisée dans le cadre de l’accès au réseau. Les prestations </w:t>
      </w:r>
      <w:r w:rsidR="00C74636">
        <w:rPr>
          <w:rFonts w:ascii="Arial" w:hAnsi="Arial" w:cs="Arial"/>
          <w:sz w:val="22"/>
          <w:szCs w:val="22"/>
          <w:lang w:val="fr-CH"/>
        </w:rPr>
        <w:t xml:space="preserve">obligatoires </w:t>
      </w:r>
      <w:r w:rsidRPr="00CF1751">
        <w:rPr>
          <w:rFonts w:ascii="Arial" w:hAnsi="Arial" w:cs="Arial"/>
          <w:sz w:val="22"/>
          <w:szCs w:val="22"/>
          <w:lang w:val="fr-CH"/>
        </w:rPr>
        <w:t xml:space="preserve">d’assurances publiques </w:t>
      </w:r>
      <w:r w:rsidR="00C74636">
        <w:rPr>
          <w:rFonts w:ascii="Arial" w:hAnsi="Arial" w:cs="Arial"/>
          <w:sz w:val="22"/>
          <w:szCs w:val="22"/>
          <w:lang w:val="fr-CH"/>
        </w:rPr>
        <w:t>(</w:t>
      </w:r>
      <w:r w:rsidR="009C5F51">
        <w:rPr>
          <w:rFonts w:ascii="Arial" w:hAnsi="Arial" w:cs="Arial"/>
          <w:sz w:val="22"/>
          <w:szCs w:val="22"/>
          <w:lang w:val="fr-CH"/>
        </w:rPr>
        <w:t>par ex. </w:t>
      </w:r>
      <w:r w:rsidR="00C74636">
        <w:rPr>
          <w:rFonts w:ascii="Arial" w:hAnsi="Arial" w:cs="Arial"/>
          <w:sz w:val="22"/>
          <w:szCs w:val="22"/>
          <w:lang w:val="fr-CH"/>
        </w:rPr>
        <w:t xml:space="preserve">assurances cantonales des bâtiments) </w:t>
      </w:r>
      <w:r w:rsidRPr="00CF1751">
        <w:rPr>
          <w:rFonts w:ascii="Arial" w:hAnsi="Arial" w:cs="Arial"/>
          <w:sz w:val="22"/>
          <w:szCs w:val="22"/>
          <w:lang w:val="fr-CH"/>
        </w:rPr>
        <w:t>sont prises en compte lors du calcul du montant de l’aide financière.</w:t>
      </w:r>
    </w:p>
    <w:p w14:paraId="212AA23E" w14:textId="41077DEF"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C74636">
        <w:rPr>
          <w:rFonts w:ascii="Arial" w:hAnsi="Arial" w:cs="Arial"/>
          <w:b/>
          <w:i w:val="0"/>
          <w:sz w:val="22"/>
          <w:lang w:val="fr-CH"/>
        </w:rPr>
        <w:t> </w:t>
      </w:r>
      <w:r w:rsidRPr="00E4385B">
        <w:rPr>
          <w:rFonts w:ascii="Arial" w:hAnsi="Arial" w:cs="Arial"/>
          <w:b/>
          <w:i w:val="0"/>
          <w:sz w:val="22"/>
          <w:lang w:val="fr-CH"/>
        </w:rPr>
        <w:t>4</w:t>
      </w:r>
      <w:r w:rsidRPr="00E4385B">
        <w:rPr>
          <w:rFonts w:ascii="Arial" w:hAnsi="Arial" w:cs="Arial"/>
          <w:b/>
          <w:sz w:val="22"/>
          <w:lang w:val="fr-CH"/>
        </w:rPr>
        <w:tab/>
      </w:r>
      <w:r w:rsidR="00921D67">
        <w:rPr>
          <w:rFonts w:ascii="Arial" w:hAnsi="Arial" w:cs="Arial"/>
          <w:b/>
          <w:i w:val="0"/>
          <w:sz w:val="22"/>
          <w:lang w:val="fr-CH"/>
        </w:rPr>
        <w:t>Délimitation</w:t>
      </w:r>
      <w:r w:rsidR="00C74636">
        <w:rPr>
          <w:rFonts w:ascii="Arial" w:hAnsi="Arial" w:cs="Arial"/>
          <w:b/>
          <w:i w:val="0"/>
          <w:sz w:val="22"/>
          <w:lang w:val="fr-CH"/>
        </w:rPr>
        <w:t xml:space="preserve"> des financements</w:t>
      </w:r>
      <w:r w:rsidRPr="00E4385B">
        <w:rPr>
          <w:rFonts w:ascii="Arial" w:hAnsi="Arial" w:cs="Arial"/>
          <w:b/>
          <w:i w:val="0"/>
          <w:sz w:val="22"/>
          <w:lang w:val="fr-CH"/>
        </w:rPr>
        <w:t xml:space="preserve"> </w:t>
      </w:r>
    </w:p>
    <w:p w14:paraId="5BE3B1A0" w14:textId="042F74E9" w:rsidR="00C74636" w:rsidRPr="00C74636" w:rsidRDefault="00C74636" w:rsidP="00C74636">
      <w:pPr>
        <w:pStyle w:val="Absatz"/>
        <w:spacing w:line="240" w:lineRule="auto"/>
        <w:rPr>
          <w:rFonts w:ascii="Arial" w:hAnsi="Arial" w:cs="Arial"/>
          <w:sz w:val="22"/>
          <w:szCs w:val="22"/>
          <w:lang w:val="fr-CH"/>
        </w:rPr>
      </w:pPr>
      <w:r w:rsidRPr="00BA3E79">
        <w:rPr>
          <w:rFonts w:ascii="Arial" w:hAnsi="Arial" w:cs="Arial"/>
          <w:sz w:val="22"/>
          <w:szCs w:val="22"/>
          <w:vertAlign w:val="superscript"/>
          <w:lang w:val="fr-CH"/>
        </w:rPr>
        <w:t>1 </w:t>
      </w:r>
      <w:r w:rsidRPr="00C74636">
        <w:rPr>
          <w:rFonts w:ascii="Arial" w:hAnsi="Arial" w:cs="Arial"/>
          <w:sz w:val="22"/>
          <w:szCs w:val="22"/>
          <w:lang w:val="fr-CH"/>
        </w:rPr>
        <w:t>Par le biais de la présente convention, la Confédération alloue, pour les années 202</w:t>
      </w:r>
      <w:r>
        <w:rPr>
          <w:rFonts w:ascii="Arial" w:hAnsi="Arial" w:cs="Arial"/>
          <w:sz w:val="22"/>
          <w:szCs w:val="22"/>
          <w:lang w:val="fr-CH"/>
        </w:rPr>
        <w:t>5</w:t>
      </w:r>
      <w:r w:rsidRPr="00C74636">
        <w:rPr>
          <w:rFonts w:ascii="Arial" w:hAnsi="Arial" w:cs="Arial"/>
          <w:sz w:val="22"/>
          <w:szCs w:val="22"/>
          <w:lang w:val="fr-CH"/>
        </w:rPr>
        <w:t xml:space="preserve"> à 202</w:t>
      </w:r>
      <w:r>
        <w:rPr>
          <w:rFonts w:ascii="Arial" w:hAnsi="Arial" w:cs="Arial"/>
          <w:sz w:val="22"/>
          <w:szCs w:val="22"/>
          <w:lang w:val="fr-CH"/>
        </w:rPr>
        <w:t>8</w:t>
      </w:r>
      <w:r w:rsidRPr="00C74636">
        <w:rPr>
          <w:rFonts w:ascii="Arial" w:hAnsi="Arial" w:cs="Arial"/>
          <w:sz w:val="22"/>
          <w:szCs w:val="22"/>
          <w:lang w:val="fr-CH"/>
        </w:rPr>
        <w:t>, des ressources financières suivantes au titre de l’infrastructure telle que définie à l’art.</w:t>
      </w:r>
      <w:r>
        <w:rPr>
          <w:rFonts w:ascii="Arial" w:hAnsi="Arial" w:cs="Arial"/>
          <w:sz w:val="22"/>
          <w:szCs w:val="22"/>
          <w:lang w:val="fr-CH"/>
        </w:rPr>
        <w:t> </w:t>
      </w:r>
      <w:r w:rsidRPr="00C74636">
        <w:rPr>
          <w:rFonts w:ascii="Arial" w:hAnsi="Arial" w:cs="Arial"/>
          <w:sz w:val="22"/>
          <w:szCs w:val="22"/>
          <w:lang w:val="fr-CH"/>
        </w:rPr>
        <w:t>62, al.</w:t>
      </w:r>
      <w:r>
        <w:rPr>
          <w:rFonts w:ascii="Arial" w:hAnsi="Arial" w:cs="Arial"/>
          <w:sz w:val="22"/>
          <w:szCs w:val="22"/>
          <w:lang w:val="fr-CH"/>
        </w:rPr>
        <w:t> </w:t>
      </w:r>
      <w:r w:rsidRPr="00C74636">
        <w:rPr>
          <w:rFonts w:ascii="Arial" w:hAnsi="Arial" w:cs="Arial"/>
          <w:sz w:val="22"/>
          <w:szCs w:val="22"/>
          <w:lang w:val="fr-CH"/>
        </w:rPr>
        <w:t>1, LCdF</w:t>
      </w:r>
      <w:r>
        <w:rPr>
          <w:rFonts w:ascii="Arial" w:hAnsi="Arial" w:cs="Arial"/>
          <w:sz w:val="22"/>
          <w:szCs w:val="22"/>
          <w:lang w:val="fr-CH"/>
        </w:rPr>
        <w:t> </w:t>
      </w:r>
      <w:r w:rsidRPr="00C74636">
        <w:rPr>
          <w:rFonts w:ascii="Arial" w:hAnsi="Arial" w:cs="Arial"/>
          <w:sz w:val="22"/>
          <w:szCs w:val="22"/>
          <w:lang w:val="fr-CH"/>
        </w:rPr>
        <w:t xml:space="preserve">: </w:t>
      </w:r>
    </w:p>
    <w:p w14:paraId="49221F8A" w14:textId="2BA4C33F" w:rsidR="00C74636" w:rsidRPr="00C74636" w:rsidRDefault="00C74636" w:rsidP="00C74636">
      <w:pPr>
        <w:pStyle w:val="Struktur1"/>
        <w:spacing w:line="240" w:lineRule="auto"/>
        <w:rPr>
          <w:rFonts w:ascii="Arial" w:hAnsi="Arial" w:cs="Arial"/>
          <w:sz w:val="22"/>
          <w:szCs w:val="22"/>
          <w:lang w:val="fr-CH"/>
        </w:rPr>
      </w:pPr>
      <w:r w:rsidRPr="00C74636">
        <w:rPr>
          <w:rFonts w:ascii="Arial" w:hAnsi="Arial" w:cs="Arial"/>
          <w:sz w:val="22"/>
          <w:szCs w:val="22"/>
          <w:lang w:val="fr-CH"/>
        </w:rPr>
        <w:t>a.</w:t>
      </w:r>
      <w:r w:rsidRPr="00C74636">
        <w:rPr>
          <w:rFonts w:ascii="Arial" w:hAnsi="Arial" w:cs="Arial"/>
          <w:sz w:val="22"/>
          <w:szCs w:val="22"/>
          <w:lang w:val="fr-CH"/>
        </w:rPr>
        <w:tab/>
        <w:t>pour l’indemnisation des coûts non couverts d’exploitation (conduite de l’exploitation et entretien) du compte de résultats, sans amortissements ni la taxe sur la valeur ajoutée (TVA) due au titre de ces indemnisations</w:t>
      </w:r>
      <w:r>
        <w:rPr>
          <w:rFonts w:ascii="Arial" w:hAnsi="Arial" w:cs="Arial"/>
          <w:sz w:val="22"/>
          <w:szCs w:val="22"/>
          <w:lang w:val="fr-CH"/>
        </w:rPr>
        <w:t> </w:t>
      </w:r>
      <w:r w:rsidRPr="00C74636">
        <w:rPr>
          <w:rFonts w:ascii="Arial" w:hAnsi="Arial" w:cs="Arial"/>
          <w:sz w:val="22"/>
          <w:szCs w:val="22"/>
          <w:lang w:val="fr-CH"/>
        </w:rPr>
        <w:t>;</w:t>
      </w:r>
    </w:p>
    <w:p w14:paraId="3D20D7DC" w14:textId="6AE30EFE" w:rsidR="00C74636" w:rsidRPr="00C74636" w:rsidRDefault="00C74636" w:rsidP="00C74636">
      <w:pPr>
        <w:pStyle w:val="Struktur1"/>
        <w:spacing w:line="240" w:lineRule="auto"/>
        <w:rPr>
          <w:rFonts w:ascii="Arial" w:hAnsi="Arial" w:cs="Arial"/>
          <w:sz w:val="22"/>
          <w:szCs w:val="22"/>
          <w:lang w:val="fr-CH"/>
        </w:rPr>
      </w:pPr>
      <w:r w:rsidRPr="00C74636">
        <w:rPr>
          <w:rFonts w:ascii="Arial" w:hAnsi="Arial" w:cs="Arial"/>
          <w:sz w:val="22"/>
          <w:szCs w:val="22"/>
          <w:lang w:val="fr-CH"/>
        </w:rPr>
        <w:t>b.</w:t>
      </w:r>
      <w:r w:rsidRPr="00C74636">
        <w:rPr>
          <w:rFonts w:ascii="Arial" w:hAnsi="Arial" w:cs="Arial"/>
          <w:sz w:val="22"/>
          <w:szCs w:val="22"/>
          <w:lang w:val="fr-CH"/>
        </w:rPr>
        <w:tab/>
        <w:t>pour l’indemnisation à hauteur des amortissements ordinaires effectifs, valeurs comptables résiduelles comprises, et des coûts non activables du compte des investissements (CINA), déduction faite des contributions de tiers comptabilisées dans les CINA et d’autres produits de liquidation y compris la TVA due au titre de ces indemnisations</w:t>
      </w:r>
      <w:r>
        <w:rPr>
          <w:rFonts w:ascii="Arial" w:hAnsi="Arial" w:cs="Arial"/>
          <w:sz w:val="22"/>
          <w:szCs w:val="22"/>
          <w:lang w:val="fr-CH"/>
        </w:rPr>
        <w:t> </w:t>
      </w:r>
      <w:r w:rsidRPr="00C74636">
        <w:rPr>
          <w:rFonts w:ascii="Arial" w:hAnsi="Arial" w:cs="Arial"/>
          <w:sz w:val="22"/>
          <w:szCs w:val="22"/>
          <w:lang w:val="fr-CH"/>
        </w:rPr>
        <w:t>;</w:t>
      </w:r>
    </w:p>
    <w:p w14:paraId="3005EDE3" w14:textId="55063F6B" w:rsidR="00C74636" w:rsidRPr="00C74636" w:rsidRDefault="00C74636" w:rsidP="00C74636">
      <w:pPr>
        <w:pStyle w:val="Struktur1"/>
        <w:spacing w:line="240" w:lineRule="auto"/>
        <w:rPr>
          <w:rFonts w:ascii="Arial" w:hAnsi="Arial" w:cs="Arial"/>
          <w:sz w:val="22"/>
          <w:szCs w:val="22"/>
          <w:lang w:val="fr-CH"/>
        </w:rPr>
      </w:pPr>
      <w:r w:rsidRPr="00C74636">
        <w:rPr>
          <w:rFonts w:ascii="Arial" w:hAnsi="Arial" w:cs="Arial"/>
          <w:sz w:val="22"/>
          <w:szCs w:val="22"/>
          <w:lang w:val="fr-CH"/>
        </w:rPr>
        <w:t>c.</w:t>
      </w:r>
      <w:r w:rsidRPr="00C74636">
        <w:rPr>
          <w:rFonts w:ascii="Arial" w:hAnsi="Arial" w:cs="Arial"/>
          <w:sz w:val="22"/>
          <w:szCs w:val="22"/>
          <w:lang w:val="fr-CH"/>
        </w:rPr>
        <w:tab/>
        <w:t xml:space="preserve">sous forme de prêts sans intérêts conditionnellement remboursables pour </w:t>
      </w:r>
      <w:r w:rsidR="00377436">
        <w:rPr>
          <w:rFonts w:ascii="Arial" w:hAnsi="Arial" w:cs="Arial"/>
          <w:sz w:val="22"/>
          <w:szCs w:val="22"/>
          <w:lang w:val="fr-CH"/>
        </w:rPr>
        <w:t>la maintenance</w:t>
      </w:r>
      <w:r w:rsidRPr="00C74636">
        <w:rPr>
          <w:rFonts w:ascii="Arial" w:hAnsi="Arial" w:cs="Arial"/>
          <w:sz w:val="22"/>
          <w:szCs w:val="22"/>
          <w:lang w:val="fr-CH"/>
        </w:rPr>
        <w:t xml:space="preserve"> en vertu de l’art.</w:t>
      </w:r>
      <w:r>
        <w:rPr>
          <w:rFonts w:ascii="Arial" w:hAnsi="Arial" w:cs="Arial"/>
          <w:sz w:val="22"/>
          <w:szCs w:val="22"/>
          <w:lang w:val="fr-CH"/>
        </w:rPr>
        <w:t> </w:t>
      </w:r>
      <w:r w:rsidRPr="00C74636">
        <w:rPr>
          <w:rFonts w:ascii="Arial" w:hAnsi="Arial" w:cs="Arial"/>
          <w:sz w:val="22"/>
          <w:szCs w:val="22"/>
          <w:lang w:val="fr-CH"/>
        </w:rPr>
        <w:t>5, al.</w:t>
      </w:r>
      <w:r>
        <w:rPr>
          <w:rFonts w:ascii="Arial" w:hAnsi="Arial" w:cs="Arial"/>
          <w:sz w:val="22"/>
          <w:szCs w:val="22"/>
          <w:lang w:val="fr-CH"/>
        </w:rPr>
        <w:t> </w:t>
      </w:r>
      <w:r w:rsidRPr="00C74636">
        <w:rPr>
          <w:rFonts w:ascii="Arial" w:hAnsi="Arial" w:cs="Arial"/>
          <w:sz w:val="22"/>
          <w:szCs w:val="22"/>
          <w:lang w:val="fr-CH"/>
        </w:rPr>
        <w:t>1, OCPF, dépassant les amortissements et les coûts non activables.</w:t>
      </w:r>
    </w:p>
    <w:p w14:paraId="6E83E492" w14:textId="32C6CCCC" w:rsidR="00C74636" w:rsidRPr="00C74636" w:rsidRDefault="00C74636" w:rsidP="00C74636">
      <w:pPr>
        <w:pStyle w:val="Struktur1"/>
        <w:tabs>
          <w:tab w:val="clear" w:pos="567"/>
          <w:tab w:val="left" w:pos="0"/>
        </w:tabs>
        <w:spacing w:line="240" w:lineRule="auto"/>
        <w:ind w:left="0" w:firstLine="0"/>
        <w:rPr>
          <w:rFonts w:ascii="Arial" w:hAnsi="Arial" w:cs="Arial"/>
          <w:sz w:val="22"/>
          <w:szCs w:val="22"/>
          <w:lang w:val="fr-CH"/>
        </w:rPr>
      </w:pPr>
      <w:r w:rsidRPr="00BA3E79">
        <w:rPr>
          <w:rFonts w:ascii="Arial" w:hAnsi="Arial" w:cs="Arial"/>
          <w:sz w:val="22"/>
          <w:szCs w:val="22"/>
          <w:vertAlign w:val="superscript"/>
          <w:lang w:val="fr-CH"/>
        </w:rPr>
        <w:lastRenderedPageBreak/>
        <w:t>2 </w:t>
      </w:r>
      <w:r w:rsidRPr="00C74636">
        <w:rPr>
          <w:rFonts w:ascii="Arial" w:hAnsi="Arial" w:cs="Arial"/>
          <w:sz w:val="22"/>
          <w:szCs w:val="22"/>
          <w:lang w:val="fr-CH"/>
        </w:rPr>
        <w:t>Les ressources financières allouées pour des aménagements de l’infrastructure et assurées par des conventions de mise en œuvre conformément à l’art.</w:t>
      </w:r>
      <w:r>
        <w:rPr>
          <w:rFonts w:ascii="Arial" w:hAnsi="Arial" w:cs="Arial"/>
          <w:sz w:val="22"/>
          <w:szCs w:val="22"/>
          <w:lang w:val="fr-CH"/>
        </w:rPr>
        <w:t> </w:t>
      </w:r>
      <w:r w:rsidRPr="00C74636">
        <w:rPr>
          <w:rFonts w:ascii="Arial" w:hAnsi="Arial" w:cs="Arial"/>
          <w:sz w:val="22"/>
          <w:szCs w:val="22"/>
          <w:lang w:val="fr-CH"/>
        </w:rPr>
        <w:t>48</w:t>
      </w:r>
      <w:r w:rsidRPr="00C74636">
        <w:rPr>
          <w:rFonts w:ascii="Arial" w:hAnsi="Arial" w:cs="Arial"/>
          <w:i/>
          <w:iCs/>
          <w:sz w:val="22"/>
          <w:szCs w:val="22"/>
          <w:lang w:val="fr-CH"/>
        </w:rPr>
        <w:t>f</w:t>
      </w:r>
      <w:r w:rsidRPr="00C74636">
        <w:rPr>
          <w:rFonts w:ascii="Arial" w:hAnsi="Arial" w:cs="Arial"/>
          <w:sz w:val="22"/>
          <w:szCs w:val="22"/>
          <w:lang w:val="fr-CH"/>
        </w:rPr>
        <w:t xml:space="preserve"> </w:t>
      </w:r>
      <w:proofErr w:type="spellStart"/>
      <w:r w:rsidRPr="00C74636">
        <w:rPr>
          <w:rFonts w:ascii="Arial" w:hAnsi="Arial" w:cs="Arial"/>
          <w:sz w:val="22"/>
          <w:szCs w:val="22"/>
          <w:lang w:val="fr-CH"/>
        </w:rPr>
        <w:t>LCdF</w:t>
      </w:r>
      <w:proofErr w:type="spellEnd"/>
      <w:r w:rsidRPr="00C74636">
        <w:rPr>
          <w:rFonts w:ascii="Arial" w:hAnsi="Arial" w:cs="Arial"/>
          <w:sz w:val="22"/>
          <w:szCs w:val="22"/>
          <w:lang w:val="fr-CH"/>
        </w:rPr>
        <w:t xml:space="preserve"> ne font pas l’objet de la présente convention.</w:t>
      </w:r>
    </w:p>
    <w:p w14:paraId="54E49D57" w14:textId="77777777" w:rsidR="00C74636" w:rsidRPr="00C74636" w:rsidRDefault="00C74636" w:rsidP="00C74636">
      <w:pPr>
        <w:pStyle w:val="Absatz"/>
        <w:spacing w:line="240" w:lineRule="auto"/>
        <w:rPr>
          <w:rFonts w:ascii="Arial" w:hAnsi="Arial" w:cs="Arial"/>
          <w:sz w:val="22"/>
          <w:szCs w:val="22"/>
          <w:lang w:val="fr-CH"/>
        </w:rPr>
      </w:pPr>
      <w:r w:rsidRPr="00BA3E79">
        <w:rPr>
          <w:rFonts w:ascii="Arial" w:hAnsi="Arial" w:cs="Arial"/>
          <w:sz w:val="22"/>
          <w:szCs w:val="22"/>
          <w:vertAlign w:val="superscript"/>
          <w:lang w:val="fr-CH"/>
        </w:rPr>
        <w:t>3 </w:t>
      </w:r>
      <w:r w:rsidRPr="00C74636">
        <w:rPr>
          <w:rFonts w:ascii="Arial" w:hAnsi="Arial" w:cs="Arial"/>
          <w:sz w:val="22"/>
          <w:szCs w:val="22"/>
          <w:lang w:val="fr-CH"/>
        </w:rPr>
        <w:t xml:space="preserve">[L’aménagement de la gare de Berne n’est pas concerné] Les fonds supplémentaires alloués par la présente convention ne doivent ni servir à financer des investissements dans des installations privées du fret ferroviaire (installations de transbordement du transport combiné [TC] et voies de raccordement) ni des projets d’agglomération qui font l’objet d’un financement spécial de la Confédération. </w:t>
      </w:r>
    </w:p>
    <w:p w14:paraId="6174E673" w14:textId="404980F2" w:rsidR="00C74636" w:rsidRPr="00C74636" w:rsidRDefault="00C74636" w:rsidP="00C74636">
      <w:pPr>
        <w:pStyle w:val="Absatz"/>
        <w:spacing w:line="240" w:lineRule="auto"/>
        <w:rPr>
          <w:rFonts w:ascii="Arial" w:hAnsi="Arial" w:cs="Arial"/>
          <w:sz w:val="22"/>
          <w:szCs w:val="22"/>
          <w:lang w:val="fr-CH"/>
        </w:rPr>
      </w:pPr>
      <w:r w:rsidRPr="00BA3E79">
        <w:rPr>
          <w:rFonts w:ascii="Arial" w:hAnsi="Arial" w:cs="Arial"/>
          <w:sz w:val="22"/>
          <w:szCs w:val="22"/>
          <w:vertAlign w:val="superscript"/>
          <w:lang w:val="fr-CH"/>
        </w:rPr>
        <w:t>4 </w:t>
      </w:r>
      <w:r w:rsidRPr="00C74636">
        <w:rPr>
          <w:rFonts w:ascii="Arial" w:hAnsi="Arial" w:cs="Arial"/>
          <w:sz w:val="22"/>
          <w:szCs w:val="22"/>
          <w:lang w:val="fr-CH"/>
        </w:rPr>
        <w:t>L’art.</w:t>
      </w:r>
      <w:r>
        <w:rPr>
          <w:rFonts w:ascii="Arial" w:hAnsi="Arial" w:cs="Arial"/>
          <w:sz w:val="22"/>
          <w:szCs w:val="22"/>
          <w:lang w:val="fr-CH"/>
        </w:rPr>
        <w:t> </w:t>
      </w:r>
      <w:r w:rsidRPr="00C74636">
        <w:rPr>
          <w:rFonts w:ascii="Arial" w:hAnsi="Arial" w:cs="Arial"/>
          <w:sz w:val="22"/>
          <w:szCs w:val="22"/>
          <w:lang w:val="fr-CH"/>
        </w:rPr>
        <w:t>35</w:t>
      </w:r>
      <w:r w:rsidRPr="00C74636">
        <w:rPr>
          <w:rFonts w:ascii="Arial" w:hAnsi="Arial" w:cs="Arial"/>
          <w:i/>
          <w:iCs/>
          <w:sz w:val="22"/>
          <w:szCs w:val="22"/>
          <w:lang w:val="fr-CH"/>
        </w:rPr>
        <w:t>a</w:t>
      </w:r>
      <w:r w:rsidRPr="00C74636">
        <w:rPr>
          <w:rFonts w:ascii="Arial" w:hAnsi="Arial" w:cs="Arial"/>
          <w:sz w:val="22"/>
          <w:szCs w:val="22"/>
          <w:lang w:val="fr-CH"/>
        </w:rPr>
        <w:t xml:space="preserve"> </w:t>
      </w:r>
      <w:proofErr w:type="spellStart"/>
      <w:r w:rsidRPr="00C74636">
        <w:rPr>
          <w:rFonts w:ascii="Arial" w:hAnsi="Arial" w:cs="Arial"/>
          <w:sz w:val="22"/>
          <w:szCs w:val="22"/>
          <w:lang w:val="fr-CH"/>
        </w:rPr>
        <w:t>LCdF</w:t>
      </w:r>
      <w:proofErr w:type="spellEnd"/>
      <w:r w:rsidRPr="00C74636">
        <w:rPr>
          <w:rFonts w:ascii="Arial" w:hAnsi="Arial" w:cs="Arial"/>
          <w:sz w:val="22"/>
          <w:szCs w:val="22"/>
          <w:lang w:val="fr-CH"/>
        </w:rPr>
        <w:t xml:space="preserve"> est prépondérant pour le financement de la construction, de l’exploitation et de l’entretien de gares avec des correspondances. L’entreprise s’engage à coordonner sa planification en amont avec les parties concernées et de conclure les conventions prévues dans la loi. À cet effet, l’optimisation des correspondances entre le chemin de fer et d’autres transports publics mais aussi privés ainsi qu’avec la mobilité douce joue un rôle central. </w:t>
      </w:r>
    </w:p>
    <w:p w14:paraId="5CB9AD6E" w14:textId="4714D4FC" w:rsidR="00C74636" w:rsidRPr="00C74636" w:rsidRDefault="00C74636" w:rsidP="00C74636">
      <w:pPr>
        <w:pStyle w:val="Absatz"/>
        <w:spacing w:line="240" w:lineRule="auto"/>
        <w:rPr>
          <w:rFonts w:ascii="Arial" w:hAnsi="Arial" w:cs="Arial"/>
          <w:sz w:val="22"/>
          <w:szCs w:val="22"/>
          <w:lang w:val="fr-CH"/>
        </w:rPr>
      </w:pPr>
      <w:r w:rsidRPr="00BA3E79">
        <w:rPr>
          <w:rFonts w:ascii="Arial" w:hAnsi="Arial" w:cs="Arial"/>
          <w:sz w:val="22"/>
          <w:szCs w:val="22"/>
          <w:vertAlign w:val="superscript"/>
          <w:lang w:val="fr-CH"/>
        </w:rPr>
        <w:t>5 </w:t>
      </w:r>
      <w:r w:rsidR="00163B11">
        <w:rPr>
          <w:rFonts w:ascii="Arial" w:hAnsi="Arial" w:cs="Arial"/>
          <w:sz w:val="22"/>
          <w:szCs w:val="22"/>
          <w:lang w:val="fr-CH"/>
        </w:rPr>
        <w:t>À l’exception des coûts qu’elles génèrent pour l’entreprise, l</w:t>
      </w:r>
      <w:r w:rsidRPr="00C74636">
        <w:rPr>
          <w:rFonts w:ascii="Arial" w:hAnsi="Arial" w:cs="Arial"/>
          <w:sz w:val="22"/>
          <w:szCs w:val="22"/>
          <w:lang w:val="fr-CH"/>
        </w:rPr>
        <w:t xml:space="preserve">es tâches systémiques qui sont encouragées </w:t>
      </w:r>
      <w:r>
        <w:rPr>
          <w:rFonts w:ascii="Arial" w:hAnsi="Arial" w:cs="Arial"/>
          <w:sz w:val="22"/>
          <w:szCs w:val="22"/>
          <w:lang w:val="fr-CH"/>
        </w:rPr>
        <w:t xml:space="preserve">et </w:t>
      </w:r>
      <w:r w:rsidR="009C5F51">
        <w:rPr>
          <w:rFonts w:ascii="Arial" w:hAnsi="Arial" w:cs="Arial"/>
          <w:sz w:val="22"/>
          <w:szCs w:val="22"/>
          <w:lang w:val="fr-CH"/>
        </w:rPr>
        <w:t>commandées</w:t>
      </w:r>
      <w:r>
        <w:rPr>
          <w:rFonts w:ascii="Arial" w:hAnsi="Arial" w:cs="Arial"/>
          <w:sz w:val="22"/>
          <w:szCs w:val="22"/>
          <w:lang w:val="fr-CH"/>
        </w:rPr>
        <w:t xml:space="preserve"> </w:t>
      </w:r>
      <w:r w:rsidRPr="00C74636">
        <w:rPr>
          <w:rFonts w:ascii="Arial" w:hAnsi="Arial" w:cs="Arial"/>
          <w:sz w:val="22"/>
          <w:szCs w:val="22"/>
          <w:lang w:val="fr-CH"/>
        </w:rPr>
        <w:t xml:space="preserve">par la Confédération </w:t>
      </w:r>
      <w:r w:rsidR="009C5F51">
        <w:rPr>
          <w:rFonts w:ascii="Arial" w:hAnsi="Arial" w:cs="Arial"/>
          <w:sz w:val="22"/>
          <w:szCs w:val="22"/>
          <w:lang w:val="fr-CH"/>
        </w:rPr>
        <w:t>au moyen d’</w:t>
      </w:r>
      <w:r w:rsidRPr="00C74636">
        <w:rPr>
          <w:rFonts w:ascii="Arial" w:hAnsi="Arial" w:cs="Arial"/>
          <w:sz w:val="22"/>
          <w:szCs w:val="22"/>
          <w:lang w:val="fr-CH"/>
        </w:rPr>
        <w:t xml:space="preserve">un </w:t>
      </w:r>
      <w:r>
        <w:rPr>
          <w:rFonts w:ascii="Arial" w:hAnsi="Arial" w:cs="Arial"/>
          <w:sz w:val="22"/>
          <w:szCs w:val="22"/>
          <w:lang w:val="fr-CH"/>
        </w:rPr>
        <w:t>contrat séparé</w:t>
      </w:r>
      <w:r w:rsidRPr="00C74636">
        <w:rPr>
          <w:rFonts w:ascii="Arial" w:hAnsi="Arial" w:cs="Arial"/>
          <w:sz w:val="22"/>
          <w:szCs w:val="22"/>
          <w:lang w:val="fr-CH"/>
        </w:rPr>
        <w:t xml:space="preserve"> ne peuvent pas être financées par des moyens supplémentaires </w:t>
      </w:r>
      <w:r w:rsidR="00163B11">
        <w:rPr>
          <w:rFonts w:ascii="Arial" w:hAnsi="Arial" w:cs="Arial"/>
          <w:sz w:val="22"/>
          <w:szCs w:val="22"/>
          <w:lang w:val="fr-CH"/>
        </w:rPr>
        <w:t>issus de</w:t>
      </w:r>
      <w:r w:rsidRPr="00C74636">
        <w:rPr>
          <w:rFonts w:ascii="Arial" w:hAnsi="Arial" w:cs="Arial"/>
          <w:sz w:val="22"/>
          <w:szCs w:val="22"/>
          <w:lang w:val="fr-CH"/>
        </w:rPr>
        <w:t xml:space="preserve"> la présente convention.</w:t>
      </w:r>
    </w:p>
    <w:p w14:paraId="5A3F4521" w14:textId="7D89E628" w:rsidR="00C74636" w:rsidRPr="00C74636" w:rsidRDefault="00C74636" w:rsidP="00C74636">
      <w:pPr>
        <w:pStyle w:val="Absatz"/>
        <w:spacing w:line="240" w:lineRule="auto"/>
        <w:rPr>
          <w:rFonts w:ascii="Arial" w:hAnsi="Arial" w:cs="Arial"/>
          <w:sz w:val="22"/>
          <w:szCs w:val="22"/>
          <w:lang w:val="fr-CH"/>
        </w:rPr>
      </w:pPr>
      <w:r w:rsidRPr="00BA3E79">
        <w:rPr>
          <w:rFonts w:ascii="Arial" w:hAnsi="Arial" w:cs="Arial"/>
          <w:sz w:val="22"/>
          <w:szCs w:val="22"/>
          <w:vertAlign w:val="superscript"/>
          <w:lang w:val="fr-CH"/>
        </w:rPr>
        <w:t>6 </w:t>
      </w:r>
      <w:r w:rsidRPr="00C74636">
        <w:rPr>
          <w:rFonts w:ascii="Arial" w:hAnsi="Arial" w:cs="Arial"/>
          <w:sz w:val="22"/>
          <w:szCs w:val="22"/>
          <w:lang w:val="fr-CH"/>
        </w:rPr>
        <w:t>L’art.</w:t>
      </w:r>
      <w:r>
        <w:rPr>
          <w:rFonts w:ascii="Arial" w:hAnsi="Arial" w:cs="Arial"/>
          <w:sz w:val="22"/>
          <w:szCs w:val="22"/>
          <w:lang w:val="fr-CH"/>
        </w:rPr>
        <w:t> </w:t>
      </w:r>
      <w:r w:rsidRPr="00C74636">
        <w:rPr>
          <w:rFonts w:ascii="Arial" w:hAnsi="Arial" w:cs="Arial"/>
          <w:sz w:val="22"/>
          <w:szCs w:val="22"/>
          <w:lang w:val="fr-CH"/>
        </w:rPr>
        <w:t>1</w:t>
      </w:r>
      <w:r>
        <w:rPr>
          <w:rFonts w:ascii="Arial" w:hAnsi="Arial" w:cs="Arial"/>
          <w:sz w:val="22"/>
          <w:szCs w:val="22"/>
          <w:lang w:val="fr-CH"/>
        </w:rPr>
        <w:t>3</w:t>
      </w:r>
      <w:r w:rsidRPr="00C74636">
        <w:rPr>
          <w:rFonts w:ascii="Arial" w:hAnsi="Arial" w:cs="Arial"/>
          <w:sz w:val="22"/>
          <w:szCs w:val="22"/>
          <w:lang w:val="fr-CH"/>
        </w:rPr>
        <w:t xml:space="preserve"> est déterminant pour la délimitation détaillée de l’infrastructure.</w:t>
      </w:r>
    </w:p>
    <w:p w14:paraId="6F330107" w14:textId="77777777" w:rsidR="001A1B1C" w:rsidRPr="00E4385B" w:rsidRDefault="001A1B1C" w:rsidP="00C74636">
      <w:pPr>
        <w:pStyle w:val="Absatz"/>
        <w:spacing w:line="240" w:lineRule="auto"/>
        <w:rPr>
          <w:rFonts w:ascii="Arial" w:hAnsi="Arial" w:cs="Arial"/>
          <w:sz w:val="22"/>
          <w:szCs w:val="22"/>
          <w:lang w:val="fr-CH"/>
        </w:rPr>
      </w:pPr>
    </w:p>
    <w:p w14:paraId="12BB49FB" w14:textId="3E413BF4" w:rsidR="00243EBA" w:rsidRPr="00E4385B" w:rsidRDefault="00BA3E79" w:rsidP="000A0102">
      <w:pPr>
        <w:pStyle w:val="TitelAnhKurztit"/>
        <w:spacing w:line="240" w:lineRule="auto"/>
        <w:rPr>
          <w:rFonts w:ascii="Arial" w:hAnsi="Arial" w:cs="Arial"/>
          <w:sz w:val="24"/>
          <w:lang w:val="fr-CH"/>
        </w:rPr>
      </w:pPr>
      <w:r>
        <w:rPr>
          <w:rFonts w:ascii="Arial" w:hAnsi="Arial" w:cs="Arial"/>
          <w:sz w:val="24"/>
          <w:lang w:val="fr-CH"/>
        </w:rPr>
        <w:t>Section 2</w:t>
      </w:r>
      <w:r>
        <w:rPr>
          <w:rFonts w:ascii="Arial" w:hAnsi="Arial" w:cs="Arial"/>
          <w:sz w:val="24"/>
          <w:lang w:val="fr-CH"/>
        </w:rPr>
        <w:tab/>
      </w:r>
      <w:r w:rsidRPr="00BA3E79">
        <w:rPr>
          <w:rFonts w:ascii="Arial" w:hAnsi="Arial" w:cs="Arial"/>
          <w:sz w:val="24"/>
          <w:lang w:val="fr-CH"/>
        </w:rPr>
        <w:t>Orientations générales stratégiques et objectifs principaux</w:t>
      </w:r>
    </w:p>
    <w:p w14:paraId="3611CCF8" w14:textId="52D205AB" w:rsidR="00243EBA" w:rsidRPr="00E4385B" w:rsidRDefault="00243EBA" w:rsidP="00617E6D">
      <w:pPr>
        <w:pStyle w:val="TitelArtikelKomm"/>
        <w:spacing w:line="360" w:lineRule="auto"/>
        <w:jc w:val="both"/>
        <w:rPr>
          <w:rFonts w:ascii="Arial" w:hAnsi="Arial" w:cs="Arial"/>
          <w:b/>
          <w:i w:val="0"/>
          <w:sz w:val="22"/>
          <w:lang w:val="fr-CH"/>
        </w:rPr>
      </w:pPr>
      <w:r w:rsidRPr="00E4385B">
        <w:rPr>
          <w:rFonts w:ascii="Arial" w:hAnsi="Arial" w:cs="Arial"/>
          <w:b/>
          <w:i w:val="0"/>
          <w:sz w:val="22"/>
          <w:lang w:val="fr-CH"/>
        </w:rPr>
        <w:t>Art.</w:t>
      </w:r>
      <w:r w:rsidR="00BA3E79">
        <w:rPr>
          <w:rFonts w:ascii="Arial" w:hAnsi="Arial" w:cs="Arial"/>
          <w:b/>
          <w:i w:val="0"/>
          <w:sz w:val="22"/>
          <w:lang w:val="fr-CH"/>
        </w:rPr>
        <w:t> </w:t>
      </w:r>
      <w:r w:rsidRPr="00E4385B">
        <w:rPr>
          <w:rFonts w:ascii="Arial" w:hAnsi="Arial" w:cs="Arial"/>
          <w:b/>
          <w:i w:val="0"/>
          <w:sz w:val="22"/>
          <w:lang w:val="fr-CH"/>
        </w:rPr>
        <w:t>5</w:t>
      </w:r>
      <w:r w:rsidRPr="00E4385B">
        <w:rPr>
          <w:rFonts w:ascii="Arial" w:hAnsi="Arial" w:cs="Arial"/>
          <w:b/>
          <w:sz w:val="22"/>
          <w:lang w:val="fr-CH"/>
        </w:rPr>
        <w:tab/>
      </w:r>
      <w:r w:rsidR="00BA3E79" w:rsidRPr="00BA3E79">
        <w:rPr>
          <w:rFonts w:ascii="Arial" w:hAnsi="Arial" w:cs="Arial"/>
          <w:b/>
          <w:i w:val="0"/>
          <w:sz w:val="22"/>
          <w:lang w:val="fr-CH"/>
        </w:rPr>
        <w:t>Objectifs et mesure de la réalisation des objectifs</w:t>
      </w:r>
    </w:p>
    <w:p w14:paraId="63F11511" w14:textId="053B9A7F" w:rsidR="00243EBA" w:rsidRPr="00E4385B" w:rsidRDefault="00BA3E79" w:rsidP="00DF7EDA">
      <w:pPr>
        <w:pStyle w:val="Absatz"/>
        <w:spacing w:line="240" w:lineRule="auto"/>
        <w:rPr>
          <w:rFonts w:ascii="Arial" w:hAnsi="Arial" w:cs="Arial"/>
          <w:sz w:val="22"/>
          <w:szCs w:val="22"/>
          <w:lang w:val="fr-CH"/>
        </w:rPr>
      </w:pPr>
      <w:r w:rsidRPr="00BA3E79">
        <w:rPr>
          <w:rFonts w:ascii="Arial" w:hAnsi="Arial" w:cs="Arial"/>
          <w:sz w:val="22"/>
          <w:szCs w:val="22"/>
          <w:lang w:val="fr-CH"/>
        </w:rPr>
        <w:t>Les objectifs principaux et la mesure de la réalisation des objectifs s’alignent sur les orientations générales stratégiques suivantes</w:t>
      </w:r>
      <w:r w:rsidR="00F46579">
        <w:rPr>
          <w:rFonts w:ascii="Arial" w:hAnsi="Arial" w:cs="Arial"/>
          <w:sz w:val="22"/>
          <w:szCs w:val="22"/>
          <w:lang w:val="fr-CH"/>
        </w:rPr>
        <w:t> </w:t>
      </w:r>
      <w:r w:rsidRPr="00BA3E79">
        <w:rPr>
          <w:rFonts w:ascii="Arial" w:hAnsi="Arial" w:cs="Arial"/>
          <w:sz w:val="22"/>
          <w:szCs w:val="22"/>
          <w:lang w:val="fr-CH"/>
        </w:rPr>
        <w:t>: garantie de la sécurité, conservation à long terme de la valeur de l’infrastructure, grande productivité et effic</w:t>
      </w:r>
      <w:r w:rsidR="00F46579">
        <w:rPr>
          <w:rFonts w:ascii="Arial" w:hAnsi="Arial" w:cs="Arial"/>
          <w:sz w:val="22"/>
          <w:szCs w:val="22"/>
          <w:lang w:val="fr-CH"/>
        </w:rPr>
        <w:t>ience</w:t>
      </w:r>
      <w:r w:rsidRPr="00BA3E79">
        <w:rPr>
          <w:rFonts w:ascii="Arial" w:hAnsi="Arial" w:cs="Arial"/>
          <w:sz w:val="22"/>
          <w:szCs w:val="22"/>
          <w:lang w:val="fr-CH"/>
        </w:rPr>
        <w:t xml:space="preserve">, garantie de la disponibilité et de la qualité du réseau ainsi que l’utilisation optimale et non-discriminatoire des capacités disponibles. L’entreprise applique le standard commun à la branche de l’Union des transports publics (UTP) pour les objectifs principaux dont la réalisation est mesurée à l’aide </w:t>
      </w:r>
      <w:r w:rsidR="00203053">
        <w:rPr>
          <w:rFonts w:ascii="Arial" w:hAnsi="Arial" w:cs="Arial"/>
          <w:sz w:val="22"/>
          <w:szCs w:val="22"/>
          <w:lang w:val="fr-CH"/>
        </w:rPr>
        <w:t>de chiffres-clés</w:t>
      </w:r>
      <w:r w:rsidRPr="00BA3E79">
        <w:rPr>
          <w:rFonts w:ascii="Arial" w:hAnsi="Arial" w:cs="Arial"/>
          <w:sz w:val="22"/>
          <w:szCs w:val="22"/>
          <w:lang w:val="fr-CH"/>
        </w:rPr>
        <w:t>. Pour mesurer la réalisation des objectifs, il faut établir des rapports conformément à l’art.</w:t>
      </w:r>
      <w:r w:rsidR="00F46579">
        <w:rPr>
          <w:rFonts w:ascii="Arial" w:hAnsi="Arial" w:cs="Arial"/>
          <w:sz w:val="22"/>
          <w:szCs w:val="22"/>
          <w:lang w:val="fr-CH"/>
        </w:rPr>
        <w:t> </w:t>
      </w:r>
      <w:r w:rsidRPr="00BA3E79">
        <w:rPr>
          <w:rFonts w:ascii="Arial" w:hAnsi="Arial" w:cs="Arial"/>
          <w:sz w:val="22"/>
          <w:szCs w:val="22"/>
          <w:lang w:val="fr-CH"/>
        </w:rPr>
        <w:t>23.</w:t>
      </w:r>
    </w:p>
    <w:p w14:paraId="32C21840" w14:textId="2D43F698"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F46579">
        <w:rPr>
          <w:rFonts w:ascii="Arial" w:hAnsi="Arial" w:cs="Arial"/>
          <w:b/>
          <w:i w:val="0"/>
          <w:sz w:val="22"/>
          <w:lang w:val="fr-CH"/>
        </w:rPr>
        <w:t> </w:t>
      </w:r>
      <w:r w:rsidRPr="00E4385B">
        <w:rPr>
          <w:rFonts w:ascii="Arial" w:hAnsi="Arial" w:cs="Arial"/>
          <w:b/>
          <w:i w:val="0"/>
          <w:sz w:val="22"/>
          <w:lang w:val="fr-CH"/>
        </w:rPr>
        <w:t>6</w:t>
      </w:r>
      <w:r w:rsidRPr="00E4385B">
        <w:rPr>
          <w:rFonts w:ascii="Arial" w:hAnsi="Arial" w:cs="Arial"/>
          <w:b/>
          <w:sz w:val="22"/>
          <w:lang w:val="fr-CH"/>
        </w:rPr>
        <w:tab/>
      </w:r>
      <w:r w:rsidR="00F46579">
        <w:rPr>
          <w:rFonts w:ascii="Arial" w:hAnsi="Arial" w:cs="Arial"/>
          <w:b/>
          <w:i w:val="0"/>
          <w:sz w:val="22"/>
          <w:lang w:val="fr-CH"/>
        </w:rPr>
        <w:t>Garantie de la sécurité</w:t>
      </w:r>
    </w:p>
    <w:p w14:paraId="3DA89665" w14:textId="22C30C94" w:rsidR="00F46579" w:rsidRPr="00F46579" w:rsidRDefault="00F46579" w:rsidP="00F46579">
      <w:pPr>
        <w:pStyle w:val="Absatz"/>
        <w:spacing w:line="240" w:lineRule="auto"/>
        <w:rPr>
          <w:rFonts w:ascii="Arial" w:hAnsi="Arial" w:cs="Arial"/>
          <w:sz w:val="22"/>
          <w:szCs w:val="22"/>
          <w:lang w:val="fr-CH"/>
        </w:rPr>
      </w:pPr>
      <w:r w:rsidRPr="00F46579">
        <w:rPr>
          <w:rFonts w:ascii="Arial" w:hAnsi="Arial" w:cs="Arial"/>
          <w:sz w:val="22"/>
          <w:szCs w:val="22"/>
          <w:lang w:val="fr-CH"/>
        </w:rPr>
        <w:t>L’entreprise cible l’adaptation du niveau de sécurité de ses installations aux développements des règles et normes techniques et sécuritaires en vigueur dans le domaine ferroviaire</w:t>
      </w:r>
      <w:r w:rsidR="00C0204D">
        <w:rPr>
          <w:rFonts w:ascii="Arial" w:hAnsi="Arial" w:cs="Arial"/>
          <w:sz w:val="22"/>
          <w:szCs w:val="22"/>
          <w:lang w:val="fr-CH"/>
        </w:rPr>
        <w:t xml:space="preserve"> et</w:t>
      </w:r>
      <w:r w:rsidR="008D722D">
        <w:rPr>
          <w:rFonts w:ascii="Arial" w:hAnsi="Arial" w:cs="Arial"/>
          <w:sz w:val="22"/>
          <w:szCs w:val="22"/>
          <w:lang w:val="fr-CH"/>
        </w:rPr>
        <w:t xml:space="preserve"> pilote l’</w:t>
      </w:r>
      <w:r w:rsidR="00C0204D">
        <w:rPr>
          <w:rFonts w:ascii="Arial" w:hAnsi="Arial" w:cs="Arial"/>
          <w:sz w:val="22"/>
          <w:szCs w:val="22"/>
          <w:lang w:val="fr-CH"/>
        </w:rPr>
        <w:t>affectation</w:t>
      </w:r>
      <w:r w:rsidR="008D722D">
        <w:rPr>
          <w:rFonts w:ascii="Arial" w:hAnsi="Arial" w:cs="Arial"/>
          <w:sz w:val="22"/>
          <w:szCs w:val="22"/>
          <w:lang w:val="fr-CH"/>
        </w:rPr>
        <w:t xml:space="preserve"> du personnel et les compétences</w:t>
      </w:r>
      <w:r w:rsidR="00C0204D">
        <w:rPr>
          <w:rFonts w:ascii="Arial" w:hAnsi="Arial" w:cs="Arial"/>
          <w:sz w:val="22"/>
          <w:szCs w:val="22"/>
          <w:lang w:val="fr-CH"/>
        </w:rPr>
        <w:t>.</w:t>
      </w:r>
      <w:r w:rsidRPr="00F46579">
        <w:rPr>
          <w:rFonts w:ascii="Arial" w:hAnsi="Arial" w:cs="Arial"/>
          <w:sz w:val="22"/>
          <w:szCs w:val="22"/>
          <w:lang w:val="fr-CH"/>
        </w:rPr>
        <w:t xml:space="preserve"> </w:t>
      </w:r>
      <w:r w:rsidR="00C0204D">
        <w:rPr>
          <w:rFonts w:ascii="Arial" w:hAnsi="Arial" w:cs="Arial"/>
          <w:sz w:val="22"/>
          <w:szCs w:val="22"/>
          <w:lang w:val="fr-CH"/>
        </w:rPr>
        <w:t>Elle</w:t>
      </w:r>
      <w:r w:rsidRPr="00F46579">
        <w:rPr>
          <w:rFonts w:ascii="Arial" w:hAnsi="Arial" w:cs="Arial"/>
          <w:sz w:val="22"/>
          <w:szCs w:val="22"/>
          <w:lang w:val="fr-CH"/>
        </w:rPr>
        <w:t xml:space="preserve"> fixe les priorités de manière que la sécurité soit garantie tout en tenant compte des risques économiques et financiers tolérables </w:t>
      </w:r>
      <w:r w:rsidR="00C0204D">
        <w:rPr>
          <w:rFonts w:ascii="Arial" w:hAnsi="Arial" w:cs="Arial"/>
          <w:sz w:val="22"/>
          <w:szCs w:val="22"/>
          <w:lang w:val="fr-CH"/>
        </w:rPr>
        <w:t>ainsi</w:t>
      </w:r>
      <w:r w:rsidRPr="00F46579">
        <w:rPr>
          <w:rFonts w:ascii="Arial" w:hAnsi="Arial" w:cs="Arial"/>
          <w:sz w:val="22"/>
          <w:szCs w:val="22"/>
          <w:lang w:val="fr-CH"/>
        </w:rPr>
        <w:t xml:space="preserve"> que de tous les risques liés à l’exploitation d’une infrastructure ferroviaire</w:t>
      </w:r>
      <w:r w:rsidR="00C0204D">
        <w:rPr>
          <w:rFonts w:ascii="Arial" w:hAnsi="Arial" w:cs="Arial"/>
          <w:sz w:val="22"/>
          <w:szCs w:val="22"/>
          <w:lang w:val="fr-CH"/>
        </w:rPr>
        <w:t>.</w:t>
      </w:r>
      <w:r w:rsidR="00F27F24">
        <w:rPr>
          <w:rFonts w:ascii="Arial" w:hAnsi="Arial" w:cs="Arial"/>
          <w:sz w:val="22"/>
          <w:szCs w:val="22"/>
          <w:lang w:val="fr-CH"/>
        </w:rPr>
        <w:t xml:space="preserve"> Cela signifie</w:t>
      </w:r>
      <w:r w:rsidRPr="00F46579">
        <w:rPr>
          <w:rFonts w:ascii="Arial" w:hAnsi="Arial" w:cs="Arial"/>
          <w:sz w:val="22"/>
          <w:szCs w:val="22"/>
          <w:lang w:val="fr-CH"/>
        </w:rPr>
        <w:t xml:space="preserve"> notamment</w:t>
      </w:r>
      <w:r w:rsidR="00F27F24">
        <w:rPr>
          <w:rFonts w:ascii="Arial" w:hAnsi="Arial" w:cs="Arial"/>
          <w:sz w:val="22"/>
          <w:szCs w:val="22"/>
          <w:lang w:val="fr-CH"/>
        </w:rPr>
        <w:t xml:space="preserve"> qu’elle garantit</w:t>
      </w:r>
      <w:r w:rsidR="008D722D">
        <w:rPr>
          <w:rFonts w:ascii="Arial" w:hAnsi="Arial" w:cs="Arial"/>
          <w:sz w:val="22"/>
          <w:szCs w:val="22"/>
          <w:lang w:val="fr-CH"/>
        </w:rPr>
        <w:t> </w:t>
      </w:r>
      <w:r w:rsidRPr="00F46579">
        <w:rPr>
          <w:rFonts w:ascii="Arial" w:hAnsi="Arial" w:cs="Arial"/>
          <w:sz w:val="22"/>
          <w:szCs w:val="22"/>
          <w:lang w:val="fr-CH"/>
        </w:rPr>
        <w:t xml:space="preserve">: </w:t>
      </w:r>
    </w:p>
    <w:p w14:paraId="079E6BEC" w14:textId="6603BBC8" w:rsidR="00F46579" w:rsidRPr="00F46579" w:rsidRDefault="00F46579" w:rsidP="00F46579">
      <w:pPr>
        <w:pStyle w:val="Struktur1"/>
        <w:spacing w:line="240" w:lineRule="auto"/>
        <w:rPr>
          <w:rFonts w:ascii="Arial" w:hAnsi="Arial" w:cs="Arial"/>
          <w:sz w:val="22"/>
          <w:szCs w:val="22"/>
          <w:lang w:val="fr-CH"/>
        </w:rPr>
      </w:pPr>
      <w:r w:rsidRPr="00F46579">
        <w:rPr>
          <w:rFonts w:ascii="Arial" w:hAnsi="Arial" w:cs="Arial"/>
          <w:sz w:val="22"/>
          <w:szCs w:val="22"/>
          <w:lang w:val="fr-CH"/>
        </w:rPr>
        <w:t>a.</w:t>
      </w:r>
      <w:r w:rsidRPr="00F46579">
        <w:rPr>
          <w:rFonts w:ascii="Arial" w:hAnsi="Arial" w:cs="Arial"/>
          <w:sz w:val="22"/>
          <w:szCs w:val="22"/>
          <w:lang w:val="fr-CH"/>
        </w:rPr>
        <w:tab/>
        <w:t>un haut degré de protection contre les collisions de trains et les déraillements ainsi que la sécurité de l’information pour les systèmes nécessaires à l’exploitation</w:t>
      </w:r>
      <w:r w:rsidR="00122015">
        <w:rPr>
          <w:rFonts w:ascii="Arial" w:hAnsi="Arial" w:cs="Arial"/>
          <w:sz w:val="22"/>
          <w:szCs w:val="22"/>
          <w:lang w:val="fr-CH"/>
        </w:rPr>
        <w:t> </w:t>
      </w:r>
      <w:r w:rsidRPr="00F46579">
        <w:rPr>
          <w:rFonts w:ascii="Arial" w:hAnsi="Arial" w:cs="Arial"/>
          <w:sz w:val="22"/>
          <w:szCs w:val="22"/>
          <w:lang w:val="fr-CH"/>
        </w:rPr>
        <w:t>;</w:t>
      </w:r>
    </w:p>
    <w:p w14:paraId="639EFE4B" w14:textId="3847D6A0" w:rsidR="00F46579" w:rsidRPr="00F46579" w:rsidRDefault="00F46579" w:rsidP="00F46579">
      <w:pPr>
        <w:pStyle w:val="Struktur1"/>
        <w:spacing w:line="240" w:lineRule="auto"/>
        <w:rPr>
          <w:rFonts w:ascii="Arial" w:hAnsi="Arial" w:cs="Arial"/>
          <w:sz w:val="22"/>
          <w:szCs w:val="22"/>
          <w:lang w:val="fr-CH"/>
        </w:rPr>
      </w:pPr>
      <w:r w:rsidRPr="00F46579">
        <w:rPr>
          <w:rFonts w:ascii="Arial" w:hAnsi="Arial" w:cs="Arial"/>
          <w:sz w:val="22"/>
          <w:szCs w:val="22"/>
          <w:lang w:val="fr-CH"/>
        </w:rPr>
        <w:t>b.</w:t>
      </w:r>
      <w:r w:rsidRPr="00F46579">
        <w:rPr>
          <w:rFonts w:ascii="Arial" w:hAnsi="Arial" w:cs="Arial"/>
          <w:sz w:val="22"/>
          <w:szCs w:val="22"/>
          <w:lang w:val="fr-CH"/>
        </w:rPr>
        <w:tab/>
        <w:t>la sécurité sur les quais et aux accès qui y mènent</w:t>
      </w:r>
      <w:r w:rsidR="00122015">
        <w:rPr>
          <w:rFonts w:ascii="Arial" w:hAnsi="Arial" w:cs="Arial"/>
          <w:sz w:val="22"/>
          <w:szCs w:val="22"/>
          <w:lang w:val="fr-CH"/>
        </w:rPr>
        <w:t> </w:t>
      </w:r>
      <w:r w:rsidRPr="00F46579">
        <w:rPr>
          <w:rFonts w:ascii="Arial" w:hAnsi="Arial" w:cs="Arial"/>
          <w:sz w:val="22"/>
          <w:szCs w:val="22"/>
          <w:lang w:val="fr-CH"/>
        </w:rPr>
        <w:t>;</w:t>
      </w:r>
    </w:p>
    <w:p w14:paraId="658E80F9" w14:textId="37019257" w:rsidR="00F46579" w:rsidRDefault="00F46579" w:rsidP="00F46579">
      <w:pPr>
        <w:pStyle w:val="Struktur1"/>
        <w:spacing w:line="240" w:lineRule="auto"/>
        <w:rPr>
          <w:rFonts w:ascii="Arial" w:hAnsi="Arial" w:cs="Arial"/>
          <w:sz w:val="22"/>
          <w:szCs w:val="22"/>
          <w:lang w:val="fr-CH"/>
        </w:rPr>
      </w:pPr>
      <w:r w:rsidRPr="00F46579">
        <w:rPr>
          <w:rFonts w:ascii="Arial" w:hAnsi="Arial" w:cs="Arial"/>
          <w:sz w:val="22"/>
          <w:szCs w:val="22"/>
          <w:lang w:val="fr-CH"/>
        </w:rPr>
        <w:t>c.</w:t>
      </w:r>
      <w:r w:rsidRPr="00F46579">
        <w:rPr>
          <w:rFonts w:ascii="Arial" w:hAnsi="Arial" w:cs="Arial"/>
          <w:sz w:val="22"/>
          <w:szCs w:val="22"/>
          <w:lang w:val="fr-CH"/>
        </w:rPr>
        <w:tab/>
        <w:t>la sécurité du personnel, en particulier dans le domaine de chantiers de construction</w:t>
      </w:r>
      <w:r w:rsidR="00122015">
        <w:rPr>
          <w:rFonts w:ascii="Arial" w:hAnsi="Arial" w:cs="Arial"/>
          <w:sz w:val="22"/>
          <w:szCs w:val="22"/>
          <w:lang w:val="fr-CH"/>
        </w:rPr>
        <w:t> </w:t>
      </w:r>
      <w:r w:rsidRPr="00F46579">
        <w:rPr>
          <w:rFonts w:ascii="Arial" w:hAnsi="Arial" w:cs="Arial"/>
          <w:sz w:val="22"/>
          <w:szCs w:val="22"/>
          <w:lang w:val="fr-CH"/>
        </w:rPr>
        <w:t>;</w:t>
      </w:r>
    </w:p>
    <w:p w14:paraId="42A1A1AF" w14:textId="5257E1C1" w:rsidR="00122015" w:rsidRDefault="00122015" w:rsidP="00F46579">
      <w:pPr>
        <w:pStyle w:val="Struktur1"/>
        <w:spacing w:line="240" w:lineRule="auto"/>
        <w:rPr>
          <w:rFonts w:ascii="Arial" w:hAnsi="Arial" w:cs="Arial"/>
          <w:sz w:val="22"/>
          <w:szCs w:val="22"/>
          <w:lang w:val="fr-CH"/>
        </w:rPr>
      </w:pPr>
      <w:r>
        <w:rPr>
          <w:rFonts w:ascii="Arial" w:hAnsi="Arial" w:cs="Arial"/>
          <w:sz w:val="22"/>
          <w:szCs w:val="22"/>
          <w:lang w:val="fr-CH"/>
        </w:rPr>
        <w:t>d.</w:t>
      </w:r>
      <w:r>
        <w:rPr>
          <w:rFonts w:ascii="Arial" w:hAnsi="Arial" w:cs="Arial"/>
          <w:sz w:val="22"/>
          <w:szCs w:val="22"/>
          <w:lang w:val="fr-CH"/>
        </w:rPr>
        <w:tab/>
        <w:t>la protection contre les accès illicites aux installations et systèmes nécessaires à l’exploitation (cybersécurité) ;</w:t>
      </w:r>
    </w:p>
    <w:p w14:paraId="5838E250" w14:textId="107C9444" w:rsidR="00122015" w:rsidRPr="00F46579" w:rsidRDefault="00122015" w:rsidP="00F46579">
      <w:pPr>
        <w:pStyle w:val="Struktur1"/>
        <w:spacing w:line="240" w:lineRule="auto"/>
        <w:rPr>
          <w:rFonts w:ascii="Arial" w:hAnsi="Arial" w:cs="Arial"/>
          <w:sz w:val="22"/>
          <w:szCs w:val="22"/>
          <w:lang w:val="fr-CH"/>
        </w:rPr>
      </w:pPr>
      <w:r>
        <w:rPr>
          <w:rFonts w:ascii="Arial" w:hAnsi="Arial" w:cs="Arial"/>
          <w:sz w:val="22"/>
          <w:szCs w:val="22"/>
          <w:lang w:val="fr-CH"/>
        </w:rPr>
        <w:t>e.</w:t>
      </w:r>
      <w:r>
        <w:rPr>
          <w:rFonts w:ascii="Arial" w:hAnsi="Arial" w:cs="Arial"/>
          <w:sz w:val="22"/>
          <w:szCs w:val="22"/>
          <w:lang w:val="fr-CH"/>
        </w:rPr>
        <w:tab/>
        <w:t>l</w:t>
      </w:r>
      <w:r w:rsidRPr="00122015">
        <w:rPr>
          <w:rFonts w:ascii="Arial" w:hAnsi="Arial" w:cs="Arial"/>
          <w:sz w:val="22"/>
          <w:szCs w:val="22"/>
          <w:lang w:val="fr-CH"/>
        </w:rPr>
        <w:t xml:space="preserve">a compétence professionnelle nécessaire au maintien de la sécurité </w:t>
      </w:r>
      <w:r>
        <w:rPr>
          <w:rFonts w:ascii="Arial" w:hAnsi="Arial" w:cs="Arial"/>
          <w:sz w:val="22"/>
          <w:szCs w:val="22"/>
          <w:lang w:val="fr-CH"/>
        </w:rPr>
        <w:t>au niveau de</w:t>
      </w:r>
      <w:r w:rsidRPr="00122015">
        <w:rPr>
          <w:rFonts w:ascii="Arial" w:hAnsi="Arial" w:cs="Arial"/>
          <w:sz w:val="22"/>
          <w:szCs w:val="22"/>
          <w:lang w:val="fr-CH"/>
        </w:rPr>
        <w:t xml:space="preserve"> la construction et </w:t>
      </w:r>
      <w:r>
        <w:rPr>
          <w:rFonts w:ascii="Arial" w:hAnsi="Arial" w:cs="Arial"/>
          <w:sz w:val="22"/>
          <w:szCs w:val="22"/>
          <w:lang w:val="fr-CH"/>
        </w:rPr>
        <w:t xml:space="preserve">de </w:t>
      </w:r>
      <w:r w:rsidRPr="00122015">
        <w:rPr>
          <w:rFonts w:ascii="Arial" w:hAnsi="Arial" w:cs="Arial"/>
          <w:sz w:val="22"/>
          <w:szCs w:val="22"/>
          <w:lang w:val="fr-CH"/>
        </w:rPr>
        <w:t>l</w:t>
      </w:r>
      <w:r>
        <w:rPr>
          <w:rFonts w:ascii="Arial" w:hAnsi="Arial" w:cs="Arial"/>
          <w:sz w:val="22"/>
          <w:szCs w:val="22"/>
          <w:lang w:val="fr-CH"/>
        </w:rPr>
        <w:t>’</w:t>
      </w:r>
      <w:r w:rsidRPr="00122015">
        <w:rPr>
          <w:rFonts w:ascii="Arial" w:hAnsi="Arial" w:cs="Arial"/>
          <w:sz w:val="22"/>
          <w:szCs w:val="22"/>
          <w:lang w:val="fr-CH"/>
        </w:rPr>
        <w:t>exploitation des installations ainsi que d</w:t>
      </w:r>
      <w:r>
        <w:rPr>
          <w:rFonts w:ascii="Arial" w:hAnsi="Arial" w:cs="Arial"/>
          <w:sz w:val="22"/>
          <w:szCs w:val="22"/>
          <w:lang w:val="fr-CH"/>
        </w:rPr>
        <w:t>e</w:t>
      </w:r>
      <w:r w:rsidRPr="00122015">
        <w:rPr>
          <w:rFonts w:ascii="Arial" w:hAnsi="Arial" w:cs="Arial"/>
          <w:sz w:val="22"/>
          <w:szCs w:val="22"/>
          <w:lang w:val="fr-CH"/>
        </w:rPr>
        <w:t xml:space="preserve"> l</w:t>
      </w:r>
      <w:r>
        <w:rPr>
          <w:rFonts w:ascii="Arial" w:hAnsi="Arial" w:cs="Arial"/>
          <w:sz w:val="22"/>
          <w:szCs w:val="22"/>
          <w:lang w:val="fr-CH"/>
        </w:rPr>
        <w:t>’</w:t>
      </w:r>
      <w:r w:rsidRPr="00122015">
        <w:rPr>
          <w:rFonts w:ascii="Arial" w:hAnsi="Arial" w:cs="Arial"/>
          <w:sz w:val="22"/>
          <w:szCs w:val="22"/>
          <w:lang w:val="fr-CH"/>
        </w:rPr>
        <w:t>exécution de l</w:t>
      </w:r>
      <w:r>
        <w:rPr>
          <w:rFonts w:ascii="Arial" w:hAnsi="Arial" w:cs="Arial"/>
          <w:sz w:val="22"/>
          <w:szCs w:val="22"/>
          <w:lang w:val="fr-CH"/>
        </w:rPr>
        <w:t>’e</w:t>
      </w:r>
      <w:r w:rsidRPr="00122015">
        <w:rPr>
          <w:rFonts w:ascii="Arial" w:hAnsi="Arial" w:cs="Arial"/>
          <w:sz w:val="22"/>
          <w:szCs w:val="22"/>
          <w:lang w:val="fr-CH"/>
        </w:rPr>
        <w:t xml:space="preserve">xploitation ferroviaire et </w:t>
      </w:r>
      <w:r>
        <w:rPr>
          <w:rFonts w:ascii="Arial" w:hAnsi="Arial" w:cs="Arial"/>
          <w:sz w:val="22"/>
          <w:szCs w:val="22"/>
          <w:lang w:val="fr-CH"/>
        </w:rPr>
        <w:t xml:space="preserve">de </w:t>
      </w:r>
      <w:r w:rsidRPr="00122015">
        <w:rPr>
          <w:rFonts w:ascii="Arial" w:hAnsi="Arial" w:cs="Arial"/>
          <w:sz w:val="22"/>
          <w:szCs w:val="22"/>
          <w:lang w:val="fr-CH"/>
        </w:rPr>
        <w:t xml:space="preserve">son </w:t>
      </w:r>
      <w:r>
        <w:rPr>
          <w:rFonts w:ascii="Arial" w:hAnsi="Arial" w:cs="Arial"/>
          <w:sz w:val="22"/>
          <w:szCs w:val="22"/>
          <w:lang w:val="fr-CH"/>
        </w:rPr>
        <w:t>perfectionnement</w:t>
      </w:r>
      <w:r w:rsidR="008842D9">
        <w:rPr>
          <w:rFonts w:ascii="Arial" w:hAnsi="Arial" w:cs="Arial"/>
          <w:sz w:val="22"/>
          <w:szCs w:val="22"/>
          <w:lang w:val="fr-CH"/>
        </w:rPr>
        <w:t> ;</w:t>
      </w:r>
    </w:p>
    <w:p w14:paraId="26F6C8B8" w14:textId="2DDB0F32" w:rsidR="00F46579" w:rsidRPr="00F46579" w:rsidRDefault="00122015" w:rsidP="00F46579">
      <w:pPr>
        <w:pStyle w:val="Struktur1"/>
        <w:spacing w:line="240" w:lineRule="auto"/>
        <w:rPr>
          <w:rFonts w:ascii="Arial" w:hAnsi="Arial" w:cs="Arial"/>
          <w:sz w:val="22"/>
          <w:szCs w:val="22"/>
          <w:lang w:val="fr-CH"/>
        </w:rPr>
      </w:pPr>
      <w:r>
        <w:rPr>
          <w:rFonts w:ascii="Arial" w:hAnsi="Arial" w:cs="Arial"/>
          <w:sz w:val="22"/>
          <w:szCs w:val="22"/>
          <w:lang w:val="fr-CH"/>
        </w:rPr>
        <w:t>f</w:t>
      </w:r>
      <w:r w:rsidR="00F46579" w:rsidRPr="00F46579">
        <w:rPr>
          <w:rFonts w:ascii="Arial" w:hAnsi="Arial" w:cs="Arial"/>
          <w:sz w:val="22"/>
          <w:szCs w:val="22"/>
          <w:lang w:val="fr-CH"/>
        </w:rPr>
        <w:t>.</w:t>
      </w:r>
      <w:r w:rsidR="00F46579" w:rsidRPr="00F46579">
        <w:rPr>
          <w:rFonts w:ascii="Arial" w:hAnsi="Arial" w:cs="Arial"/>
          <w:sz w:val="22"/>
          <w:szCs w:val="22"/>
          <w:lang w:val="fr-CH"/>
        </w:rPr>
        <w:tab/>
        <w:t xml:space="preserve">[uniquement pour les entreprises concernées] </w:t>
      </w:r>
      <w:r w:rsidR="00F27F24">
        <w:rPr>
          <w:rFonts w:ascii="Arial" w:hAnsi="Arial" w:cs="Arial"/>
          <w:sz w:val="22"/>
          <w:szCs w:val="22"/>
          <w:lang w:val="fr-CH"/>
        </w:rPr>
        <w:t>la mise</w:t>
      </w:r>
      <w:r w:rsidR="00F46579" w:rsidRPr="00F46579">
        <w:rPr>
          <w:rFonts w:ascii="Arial" w:hAnsi="Arial" w:cs="Arial"/>
          <w:sz w:val="22"/>
          <w:szCs w:val="22"/>
          <w:lang w:val="fr-CH"/>
        </w:rPr>
        <w:t xml:space="preserve"> en œuvre </w:t>
      </w:r>
      <w:r w:rsidR="00F27F24">
        <w:rPr>
          <w:rFonts w:ascii="Arial" w:hAnsi="Arial" w:cs="Arial"/>
          <w:sz w:val="22"/>
          <w:szCs w:val="22"/>
          <w:lang w:val="fr-CH"/>
        </w:rPr>
        <w:t>d</w:t>
      </w:r>
      <w:r w:rsidR="00F46579" w:rsidRPr="00F46579">
        <w:rPr>
          <w:rFonts w:ascii="Arial" w:hAnsi="Arial" w:cs="Arial"/>
          <w:sz w:val="22"/>
          <w:szCs w:val="22"/>
          <w:lang w:val="fr-CH"/>
        </w:rPr>
        <w:t>es mesures d’assainissement approuvées pour les passages à niveau non conformes à la loi, et ce, dans un délai d’une année après l’entrée en force de la décision.</w:t>
      </w:r>
    </w:p>
    <w:p w14:paraId="30319B2A" w14:textId="2DF24141" w:rsidR="00243EBA" w:rsidRPr="00122015" w:rsidRDefault="00243EBA" w:rsidP="00617E6D">
      <w:pPr>
        <w:pStyle w:val="TitelArtikelKomm"/>
        <w:spacing w:line="360" w:lineRule="auto"/>
        <w:rPr>
          <w:rFonts w:ascii="Arial" w:hAnsi="Arial" w:cs="Arial"/>
          <w:b/>
          <w:i w:val="0"/>
          <w:sz w:val="22"/>
          <w:lang w:val="fr-CH"/>
        </w:rPr>
      </w:pPr>
      <w:r w:rsidRPr="00122015">
        <w:rPr>
          <w:rFonts w:ascii="Arial" w:hAnsi="Arial" w:cs="Arial"/>
          <w:b/>
          <w:i w:val="0"/>
          <w:sz w:val="22"/>
          <w:lang w:val="fr-CH"/>
        </w:rPr>
        <w:lastRenderedPageBreak/>
        <w:t>Art.</w:t>
      </w:r>
      <w:r w:rsidR="00F46579" w:rsidRPr="00122015">
        <w:rPr>
          <w:rFonts w:ascii="Arial" w:hAnsi="Arial" w:cs="Arial"/>
          <w:b/>
          <w:i w:val="0"/>
          <w:sz w:val="22"/>
          <w:lang w:val="fr-CH"/>
        </w:rPr>
        <w:t> </w:t>
      </w:r>
      <w:r w:rsidRPr="00122015">
        <w:rPr>
          <w:rFonts w:ascii="Arial" w:hAnsi="Arial" w:cs="Arial"/>
          <w:b/>
          <w:i w:val="0"/>
          <w:sz w:val="22"/>
          <w:lang w:val="fr-CH"/>
        </w:rPr>
        <w:t>7</w:t>
      </w:r>
      <w:r w:rsidRPr="00122015">
        <w:rPr>
          <w:rFonts w:ascii="Arial" w:hAnsi="Arial" w:cs="Arial"/>
          <w:b/>
          <w:i w:val="0"/>
          <w:sz w:val="22"/>
          <w:lang w:val="fr-CH"/>
        </w:rPr>
        <w:tab/>
      </w:r>
      <w:r w:rsidR="00122015" w:rsidRPr="00122015">
        <w:rPr>
          <w:rFonts w:ascii="Arial" w:hAnsi="Arial" w:cs="Arial"/>
          <w:b/>
          <w:i w:val="0"/>
          <w:sz w:val="22"/>
          <w:lang w:val="fr-CH"/>
        </w:rPr>
        <w:t>Conservation à long terme de la valeur de l’infrastructure</w:t>
      </w:r>
    </w:p>
    <w:p w14:paraId="3F493AE3" w14:textId="47E2C934" w:rsidR="00122015" w:rsidRPr="00122015" w:rsidRDefault="00122015" w:rsidP="00122015">
      <w:pPr>
        <w:spacing w:before="80" w:line="240" w:lineRule="auto"/>
        <w:jc w:val="both"/>
        <w:rPr>
          <w:rFonts w:eastAsia="Times New Roman"/>
          <w:sz w:val="22"/>
          <w:lang w:val="fr-CH" w:eastAsia="de-DE"/>
        </w:rPr>
      </w:pPr>
      <w:r w:rsidRPr="00122015">
        <w:rPr>
          <w:rFonts w:eastAsia="Times New Roman"/>
          <w:sz w:val="22"/>
          <w:lang w:val="fr-CH" w:eastAsia="de-DE"/>
        </w:rPr>
        <w:t xml:space="preserve">L’entreprise assure systématiquement une conservation à long terme de la valeur de l’infrastructure à l’aide d’une stratégie de </w:t>
      </w:r>
      <w:r w:rsidR="00377436">
        <w:rPr>
          <w:rFonts w:eastAsia="Times New Roman"/>
          <w:sz w:val="22"/>
          <w:lang w:val="fr-CH" w:eastAsia="de-DE"/>
        </w:rPr>
        <w:t>maintenance</w:t>
      </w:r>
      <w:r w:rsidRPr="00122015">
        <w:rPr>
          <w:rFonts w:eastAsia="Times New Roman"/>
          <w:sz w:val="22"/>
          <w:lang w:val="fr-CH" w:eastAsia="de-DE"/>
        </w:rPr>
        <w:t xml:space="preserve"> ciblée et appropriée.</w:t>
      </w:r>
      <w:r>
        <w:rPr>
          <w:rFonts w:eastAsia="Times New Roman"/>
          <w:sz w:val="22"/>
          <w:lang w:val="fr-CH" w:eastAsia="de-DE"/>
        </w:rPr>
        <w:t xml:space="preserve"> L’accent est mis sur les objectifs suivants </w:t>
      </w:r>
      <w:r w:rsidRPr="00122015">
        <w:rPr>
          <w:rFonts w:eastAsia="Times New Roman"/>
          <w:sz w:val="22"/>
          <w:lang w:val="fr-CH" w:eastAsia="de-DE"/>
        </w:rPr>
        <w:t>:</w:t>
      </w:r>
    </w:p>
    <w:p w14:paraId="7764E6D2" w14:textId="624DBA23" w:rsidR="00122015" w:rsidRPr="00122015" w:rsidRDefault="00122015" w:rsidP="00122015">
      <w:pPr>
        <w:tabs>
          <w:tab w:val="left" w:pos="567"/>
        </w:tabs>
        <w:spacing w:before="80" w:line="240" w:lineRule="auto"/>
        <w:ind w:left="567" w:hanging="357"/>
        <w:jc w:val="both"/>
        <w:rPr>
          <w:rFonts w:eastAsia="Times New Roman"/>
          <w:sz w:val="22"/>
          <w:lang w:val="fr-CH" w:eastAsia="de-DE"/>
        </w:rPr>
      </w:pPr>
      <w:r w:rsidRPr="00122015">
        <w:rPr>
          <w:rFonts w:eastAsia="Times New Roman"/>
          <w:sz w:val="22"/>
          <w:lang w:val="fr-CH" w:eastAsia="de-DE"/>
        </w:rPr>
        <w:t>a.</w:t>
      </w:r>
      <w:r w:rsidRPr="00122015">
        <w:rPr>
          <w:rFonts w:eastAsia="Times New Roman"/>
          <w:sz w:val="22"/>
          <w:lang w:val="fr-CH" w:eastAsia="de-DE"/>
        </w:rPr>
        <w:tab/>
      </w:r>
      <w:r w:rsidR="008842D9">
        <w:rPr>
          <w:rFonts w:eastAsia="Times New Roman"/>
          <w:sz w:val="22"/>
          <w:lang w:val="fr-CH" w:eastAsia="de-DE"/>
        </w:rPr>
        <w:t>E</w:t>
      </w:r>
      <w:r w:rsidRPr="00122015">
        <w:rPr>
          <w:rFonts w:eastAsia="Times New Roman"/>
          <w:sz w:val="22"/>
          <w:lang w:val="fr-CH" w:eastAsia="de-DE"/>
        </w:rPr>
        <w:t xml:space="preserve">n appliquant sa stratégie de </w:t>
      </w:r>
      <w:r w:rsidR="00377436">
        <w:rPr>
          <w:rFonts w:eastAsia="Times New Roman"/>
          <w:sz w:val="22"/>
          <w:lang w:val="fr-CH" w:eastAsia="de-DE"/>
        </w:rPr>
        <w:t>maintenance</w:t>
      </w:r>
      <w:r w:rsidRPr="00122015">
        <w:rPr>
          <w:rFonts w:eastAsia="Times New Roman"/>
          <w:sz w:val="22"/>
          <w:lang w:val="fr-CH" w:eastAsia="de-DE"/>
        </w:rPr>
        <w:t xml:space="preserve">, basée sur </w:t>
      </w:r>
      <w:r w:rsidR="008C345D" w:rsidRPr="008C345D">
        <w:rPr>
          <w:rFonts w:eastAsia="Times New Roman"/>
          <w:sz w:val="22"/>
          <w:lang w:val="fr-CH" w:eastAsia="de-DE"/>
        </w:rPr>
        <w:t>l’</w:t>
      </w:r>
      <w:r w:rsidR="008C345D">
        <w:rPr>
          <w:rFonts w:eastAsia="Times New Roman"/>
          <w:sz w:val="22"/>
          <w:lang w:val="fr-CH" w:eastAsia="de-DE"/>
        </w:rPr>
        <w:t xml:space="preserve">état du réseau et </w:t>
      </w:r>
      <w:r w:rsidRPr="00122015">
        <w:rPr>
          <w:rFonts w:eastAsia="Times New Roman"/>
          <w:sz w:val="22"/>
          <w:lang w:val="fr-CH" w:eastAsia="de-DE"/>
        </w:rPr>
        <w:t>les cycles de vie des produits, l’entreprise vise à atteindre une durée d’utilisation économiquement optimale des installations</w:t>
      </w:r>
      <w:r w:rsidR="008842D9">
        <w:rPr>
          <w:rFonts w:eastAsia="Times New Roman"/>
          <w:sz w:val="22"/>
          <w:lang w:val="fr-CH" w:eastAsia="de-DE"/>
        </w:rPr>
        <w:t>.</w:t>
      </w:r>
    </w:p>
    <w:p w14:paraId="74F7FD7F" w14:textId="7ADF75C0" w:rsidR="00122015" w:rsidRDefault="00122015" w:rsidP="00122015">
      <w:pPr>
        <w:tabs>
          <w:tab w:val="left" w:pos="567"/>
        </w:tabs>
        <w:spacing w:before="80" w:line="240" w:lineRule="auto"/>
        <w:ind w:left="567" w:hanging="357"/>
        <w:jc w:val="both"/>
        <w:rPr>
          <w:rFonts w:eastAsia="Times New Roman"/>
          <w:sz w:val="22"/>
          <w:lang w:val="fr-CH" w:eastAsia="de-DE"/>
        </w:rPr>
      </w:pPr>
      <w:r w:rsidRPr="00122015">
        <w:rPr>
          <w:rFonts w:eastAsia="Times New Roman"/>
          <w:sz w:val="22"/>
          <w:lang w:val="fr-CH" w:eastAsia="de-DE"/>
        </w:rPr>
        <w:t>b.</w:t>
      </w:r>
      <w:r w:rsidRPr="00122015">
        <w:rPr>
          <w:rFonts w:eastAsia="Times New Roman"/>
          <w:sz w:val="22"/>
          <w:lang w:val="fr-CH" w:eastAsia="de-DE"/>
        </w:rPr>
        <w:tab/>
      </w:r>
      <w:r w:rsidR="008842D9">
        <w:rPr>
          <w:rFonts w:eastAsia="Times New Roman"/>
          <w:sz w:val="22"/>
          <w:lang w:val="fr-CH" w:eastAsia="de-DE"/>
        </w:rPr>
        <w:t>L</w:t>
      </w:r>
      <w:r w:rsidRPr="00122015">
        <w:rPr>
          <w:rFonts w:eastAsia="Times New Roman"/>
          <w:sz w:val="22"/>
          <w:lang w:val="fr-CH" w:eastAsia="de-DE"/>
        </w:rPr>
        <w:t xml:space="preserve">’entreprise applique sa stratégie de </w:t>
      </w:r>
      <w:r w:rsidR="00377436">
        <w:rPr>
          <w:rFonts w:eastAsia="Times New Roman"/>
          <w:sz w:val="22"/>
          <w:lang w:val="fr-CH" w:eastAsia="de-DE"/>
        </w:rPr>
        <w:t>maintenance</w:t>
      </w:r>
      <w:r w:rsidRPr="00122015">
        <w:rPr>
          <w:rFonts w:eastAsia="Times New Roman"/>
          <w:sz w:val="22"/>
          <w:lang w:val="fr-CH" w:eastAsia="de-DE"/>
        </w:rPr>
        <w:t xml:space="preserve"> de manière que l’état souhaité du réseau puisse être atteint et maintenu à long terme</w:t>
      </w:r>
      <w:r w:rsidR="008842D9">
        <w:rPr>
          <w:rFonts w:eastAsia="Times New Roman"/>
          <w:sz w:val="22"/>
          <w:lang w:val="fr-CH" w:eastAsia="de-DE"/>
        </w:rPr>
        <w:t>.</w:t>
      </w:r>
    </w:p>
    <w:p w14:paraId="39AC396A" w14:textId="46240487" w:rsidR="008C345D" w:rsidRDefault="008C345D" w:rsidP="00122015">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c.</w:t>
      </w:r>
      <w:r>
        <w:rPr>
          <w:rFonts w:eastAsia="Times New Roman"/>
          <w:sz w:val="22"/>
          <w:lang w:val="fr-CH" w:eastAsia="de-DE"/>
        </w:rPr>
        <w:tab/>
      </w:r>
      <w:r w:rsidR="008842D9">
        <w:rPr>
          <w:rFonts w:eastAsia="Times New Roman"/>
          <w:sz w:val="22"/>
          <w:lang w:val="fr-CH" w:eastAsia="de-DE"/>
        </w:rPr>
        <w:t>L</w:t>
      </w:r>
      <w:r w:rsidR="00F27F24">
        <w:rPr>
          <w:rFonts w:eastAsia="Times New Roman"/>
          <w:sz w:val="22"/>
          <w:lang w:val="fr-CH" w:eastAsia="de-DE"/>
        </w:rPr>
        <w:t>’entreprise évalue et documente pour chaque projet l</w:t>
      </w:r>
      <w:r w:rsidRPr="008C345D">
        <w:rPr>
          <w:rFonts w:eastAsia="Times New Roman"/>
          <w:sz w:val="22"/>
          <w:lang w:val="fr-CH" w:eastAsia="de-DE"/>
        </w:rPr>
        <w:t xml:space="preserve">e respect de la stratégie </w:t>
      </w:r>
      <w:r w:rsidR="00377436">
        <w:rPr>
          <w:rFonts w:eastAsia="Times New Roman"/>
          <w:sz w:val="22"/>
          <w:lang w:val="fr-CH" w:eastAsia="de-DE"/>
        </w:rPr>
        <w:t>de maintenance</w:t>
      </w:r>
      <w:r w:rsidRPr="008C345D">
        <w:rPr>
          <w:rFonts w:eastAsia="Times New Roman"/>
          <w:sz w:val="22"/>
          <w:lang w:val="fr-CH" w:eastAsia="de-DE"/>
        </w:rPr>
        <w:t xml:space="preserve">, </w:t>
      </w:r>
      <w:r w:rsidR="007F7275">
        <w:rPr>
          <w:rFonts w:eastAsia="Times New Roman"/>
          <w:sz w:val="22"/>
          <w:lang w:val="fr-CH" w:eastAsia="de-DE"/>
        </w:rPr>
        <w:t>notamment</w:t>
      </w:r>
      <w:r w:rsidRPr="008C345D">
        <w:rPr>
          <w:rFonts w:eastAsia="Times New Roman"/>
          <w:sz w:val="22"/>
          <w:lang w:val="fr-CH" w:eastAsia="de-DE"/>
        </w:rPr>
        <w:t xml:space="preserve"> la </w:t>
      </w:r>
      <w:r w:rsidR="00F27F24">
        <w:rPr>
          <w:rFonts w:eastAsia="Times New Roman"/>
          <w:sz w:val="22"/>
          <w:lang w:val="fr-CH" w:eastAsia="de-DE"/>
        </w:rPr>
        <w:t>durabilité</w:t>
      </w:r>
      <w:r w:rsidR="00F27F24" w:rsidRPr="008C345D">
        <w:rPr>
          <w:rFonts w:eastAsia="Times New Roman"/>
          <w:sz w:val="22"/>
          <w:lang w:val="fr-CH" w:eastAsia="de-DE"/>
        </w:rPr>
        <w:t xml:space="preserve"> </w:t>
      </w:r>
      <w:r w:rsidRPr="008C345D">
        <w:rPr>
          <w:rFonts w:eastAsia="Times New Roman"/>
          <w:sz w:val="22"/>
          <w:lang w:val="fr-CH" w:eastAsia="de-DE"/>
        </w:rPr>
        <w:t>de l’investissement.</w:t>
      </w:r>
      <w:r>
        <w:rPr>
          <w:rFonts w:eastAsia="Times New Roman"/>
          <w:sz w:val="22"/>
          <w:lang w:val="fr-CH" w:eastAsia="de-DE"/>
        </w:rPr>
        <w:t xml:space="preserve"> </w:t>
      </w:r>
      <w:r w:rsidR="007F7275">
        <w:rPr>
          <w:rFonts w:eastAsia="Times New Roman"/>
          <w:sz w:val="22"/>
          <w:lang w:val="fr-CH" w:eastAsia="de-DE"/>
        </w:rPr>
        <w:t>Pour les investissements selon</w:t>
      </w:r>
      <w:r w:rsidR="007F7275" w:rsidRPr="008C345D">
        <w:rPr>
          <w:rFonts w:eastAsia="Times New Roman"/>
          <w:sz w:val="22"/>
          <w:lang w:val="fr-CH" w:eastAsia="de-DE"/>
        </w:rPr>
        <w:t xml:space="preserve"> de l</w:t>
      </w:r>
      <w:r w:rsidR="007F7275">
        <w:rPr>
          <w:rFonts w:eastAsia="Times New Roman"/>
          <w:sz w:val="22"/>
          <w:lang w:val="fr-CH" w:eastAsia="de-DE"/>
        </w:rPr>
        <w:t>’</w:t>
      </w:r>
      <w:r w:rsidR="007F7275" w:rsidRPr="008C345D">
        <w:rPr>
          <w:rFonts w:eastAsia="Times New Roman"/>
          <w:sz w:val="22"/>
          <w:lang w:val="fr-CH" w:eastAsia="de-DE"/>
        </w:rPr>
        <w:t>art.</w:t>
      </w:r>
      <w:r w:rsidR="007F7275">
        <w:rPr>
          <w:rFonts w:eastAsia="Times New Roman"/>
          <w:sz w:val="22"/>
          <w:lang w:val="fr-CH" w:eastAsia="de-DE"/>
        </w:rPr>
        <w:t> </w:t>
      </w:r>
      <w:r w:rsidR="007F7275" w:rsidRPr="008C345D">
        <w:rPr>
          <w:rFonts w:eastAsia="Times New Roman"/>
          <w:sz w:val="22"/>
          <w:lang w:val="fr-CH" w:eastAsia="de-DE"/>
        </w:rPr>
        <w:t>20, al.</w:t>
      </w:r>
      <w:r w:rsidR="007F7275">
        <w:rPr>
          <w:rFonts w:eastAsia="Times New Roman"/>
          <w:sz w:val="22"/>
          <w:lang w:val="fr-CH" w:eastAsia="de-DE"/>
        </w:rPr>
        <w:t> </w:t>
      </w:r>
      <w:r w:rsidR="007F7275" w:rsidRPr="008C345D">
        <w:rPr>
          <w:rFonts w:eastAsia="Times New Roman"/>
          <w:sz w:val="22"/>
          <w:lang w:val="fr-CH" w:eastAsia="de-DE"/>
        </w:rPr>
        <w:t>2, let.</w:t>
      </w:r>
      <w:r w:rsidR="007F7275">
        <w:rPr>
          <w:rFonts w:eastAsia="Times New Roman"/>
          <w:sz w:val="22"/>
          <w:lang w:val="fr-CH" w:eastAsia="de-DE"/>
        </w:rPr>
        <w:t> </w:t>
      </w:r>
      <w:proofErr w:type="gramStart"/>
      <w:r w:rsidR="007F7275" w:rsidRPr="008C345D">
        <w:rPr>
          <w:rFonts w:eastAsia="Times New Roman"/>
          <w:sz w:val="22"/>
          <w:lang w:val="fr-CH" w:eastAsia="de-DE"/>
        </w:rPr>
        <w:t>a</w:t>
      </w:r>
      <w:proofErr w:type="gramEnd"/>
      <w:r w:rsidR="007F7275">
        <w:rPr>
          <w:rFonts w:eastAsia="Times New Roman"/>
          <w:sz w:val="22"/>
          <w:lang w:val="fr-CH" w:eastAsia="de-DE"/>
        </w:rPr>
        <w:t>,</w:t>
      </w:r>
      <w:r w:rsidR="007F7275" w:rsidRPr="008C345D">
        <w:rPr>
          <w:rFonts w:eastAsia="Times New Roman"/>
          <w:sz w:val="22"/>
          <w:lang w:val="fr-CH" w:eastAsia="de-DE"/>
        </w:rPr>
        <w:t xml:space="preserve"> </w:t>
      </w:r>
      <w:r w:rsidRPr="008C345D">
        <w:rPr>
          <w:rFonts w:eastAsia="Times New Roman"/>
          <w:sz w:val="22"/>
          <w:lang w:val="fr-CH" w:eastAsia="de-DE"/>
        </w:rPr>
        <w:t xml:space="preserve">, </w:t>
      </w:r>
      <w:r w:rsidR="00F27F24">
        <w:rPr>
          <w:rFonts w:eastAsia="Times New Roman"/>
          <w:sz w:val="22"/>
          <w:lang w:val="fr-CH" w:eastAsia="de-DE"/>
        </w:rPr>
        <w:t xml:space="preserve">elle évalue et documente </w:t>
      </w:r>
      <w:r w:rsidRPr="008C345D">
        <w:rPr>
          <w:rFonts w:eastAsia="Times New Roman"/>
          <w:sz w:val="22"/>
          <w:lang w:val="fr-CH" w:eastAsia="de-DE"/>
        </w:rPr>
        <w:t>le respect de la stratégie de la Confédération en matière de culture du bâti.</w:t>
      </w:r>
    </w:p>
    <w:p w14:paraId="3D0514F8" w14:textId="17B9A817" w:rsidR="008842D9" w:rsidRPr="00122015" w:rsidRDefault="008842D9" w:rsidP="00122015">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d.</w:t>
      </w:r>
      <w:r>
        <w:rPr>
          <w:rFonts w:eastAsia="Times New Roman"/>
          <w:sz w:val="22"/>
          <w:lang w:val="fr-CH" w:eastAsia="de-DE"/>
        </w:rPr>
        <w:tab/>
      </w:r>
      <w:r w:rsidRPr="008842D9">
        <w:rPr>
          <w:rFonts w:eastAsia="Times New Roman"/>
          <w:sz w:val="22"/>
          <w:lang w:val="fr-CH" w:eastAsia="de-DE"/>
        </w:rPr>
        <w:t xml:space="preserve">La planification </w:t>
      </w:r>
      <w:r w:rsidR="004E704C">
        <w:rPr>
          <w:rFonts w:eastAsia="Times New Roman"/>
          <w:sz w:val="22"/>
          <w:lang w:val="fr-CH" w:eastAsia="de-DE"/>
        </w:rPr>
        <w:t>de la maintenance</w:t>
      </w:r>
      <w:r w:rsidRPr="008842D9">
        <w:rPr>
          <w:rFonts w:eastAsia="Times New Roman"/>
          <w:sz w:val="22"/>
          <w:lang w:val="fr-CH" w:eastAsia="de-DE"/>
        </w:rPr>
        <w:t xml:space="preserve"> et du </w:t>
      </w:r>
      <w:r>
        <w:rPr>
          <w:rFonts w:eastAsia="Times New Roman"/>
          <w:sz w:val="22"/>
          <w:lang w:val="fr-CH" w:eastAsia="de-DE"/>
        </w:rPr>
        <w:t>perfectionnement</w:t>
      </w:r>
      <w:r w:rsidRPr="008842D9">
        <w:rPr>
          <w:rFonts w:eastAsia="Times New Roman"/>
          <w:sz w:val="22"/>
          <w:lang w:val="fr-CH" w:eastAsia="de-DE"/>
        </w:rPr>
        <w:t xml:space="preserve"> de l</w:t>
      </w:r>
      <w:r>
        <w:rPr>
          <w:rFonts w:eastAsia="Times New Roman"/>
          <w:sz w:val="22"/>
          <w:lang w:val="fr-CH" w:eastAsia="de-DE"/>
        </w:rPr>
        <w:t>’</w:t>
      </w:r>
      <w:r w:rsidRPr="008842D9">
        <w:rPr>
          <w:rFonts w:eastAsia="Times New Roman"/>
          <w:sz w:val="22"/>
          <w:lang w:val="fr-CH" w:eastAsia="de-DE"/>
        </w:rPr>
        <w:t xml:space="preserve">infrastructure </w:t>
      </w:r>
      <w:r>
        <w:rPr>
          <w:rFonts w:eastAsia="Times New Roman"/>
          <w:sz w:val="22"/>
          <w:lang w:val="fr-CH" w:eastAsia="de-DE"/>
        </w:rPr>
        <w:t xml:space="preserve">est </w:t>
      </w:r>
      <w:r w:rsidRPr="008842D9">
        <w:rPr>
          <w:rFonts w:eastAsia="Times New Roman"/>
          <w:sz w:val="22"/>
          <w:lang w:val="fr-CH" w:eastAsia="de-DE"/>
        </w:rPr>
        <w:t>coord</w:t>
      </w:r>
      <w:r>
        <w:rPr>
          <w:rFonts w:eastAsia="Times New Roman"/>
          <w:sz w:val="22"/>
          <w:lang w:val="fr-CH" w:eastAsia="de-DE"/>
        </w:rPr>
        <w:t>onnée</w:t>
      </w:r>
      <w:r w:rsidRPr="008842D9">
        <w:rPr>
          <w:rFonts w:eastAsia="Times New Roman"/>
          <w:sz w:val="22"/>
          <w:lang w:val="fr-CH" w:eastAsia="de-DE"/>
        </w:rPr>
        <w:t xml:space="preserve"> avec </w:t>
      </w:r>
      <w:r>
        <w:rPr>
          <w:rFonts w:eastAsia="Times New Roman"/>
          <w:sz w:val="22"/>
          <w:lang w:val="fr-CH" w:eastAsia="de-DE"/>
        </w:rPr>
        <w:t>l’ensemble du</w:t>
      </w:r>
      <w:r w:rsidRPr="008842D9">
        <w:rPr>
          <w:rFonts w:eastAsia="Times New Roman"/>
          <w:sz w:val="22"/>
          <w:lang w:val="fr-CH" w:eastAsia="de-DE"/>
        </w:rPr>
        <w:t xml:space="preserve"> système ferroviaire. Sous la forme de concept</w:t>
      </w:r>
      <w:r w:rsidR="004E704C">
        <w:rPr>
          <w:rFonts w:eastAsia="Times New Roman"/>
          <w:sz w:val="22"/>
          <w:lang w:val="fr-CH" w:eastAsia="de-DE"/>
        </w:rPr>
        <w:t>ion</w:t>
      </w:r>
      <w:r w:rsidRPr="008842D9">
        <w:rPr>
          <w:rFonts w:eastAsia="Times New Roman"/>
          <w:sz w:val="22"/>
          <w:lang w:val="fr-CH" w:eastAsia="de-DE"/>
        </w:rPr>
        <w:t xml:space="preserve">s de réseaux partiels et de lignes, </w:t>
      </w:r>
      <w:r>
        <w:rPr>
          <w:rFonts w:eastAsia="Times New Roman"/>
          <w:sz w:val="22"/>
          <w:lang w:val="fr-CH" w:eastAsia="de-DE"/>
        </w:rPr>
        <w:t xml:space="preserve">il </w:t>
      </w:r>
      <w:r w:rsidR="004E704C">
        <w:rPr>
          <w:rFonts w:eastAsia="Times New Roman"/>
          <w:sz w:val="22"/>
          <w:lang w:val="fr-CH" w:eastAsia="de-DE"/>
        </w:rPr>
        <w:t>y a lieu</w:t>
      </w:r>
      <w:r>
        <w:rPr>
          <w:rFonts w:eastAsia="Times New Roman"/>
          <w:sz w:val="22"/>
          <w:lang w:val="fr-CH" w:eastAsia="de-DE"/>
        </w:rPr>
        <w:t xml:space="preserve"> </w:t>
      </w:r>
      <w:r w:rsidR="004E704C">
        <w:rPr>
          <w:rFonts w:eastAsia="Times New Roman"/>
          <w:sz w:val="22"/>
          <w:lang w:val="fr-CH" w:eastAsia="de-DE"/>
        </w:rPr>
        <w:t>d’aligner</w:t>
      </w:r>
      <w:r>
        <w:rPr>
          <w:rFonts w:eastAsia="Times New Roman"/>
          <w:sz w:val="22"/>
          <w:lang w:val="fr-CH" w:eastAsia="de-DE"/>
        </w:rPr>
        <w:t xml:space="preserve"> coordonner </w:t>
      </w:r>
      <w:r w:rsidRPr="008842D9">
        <w:rPr>
          <w:rFonts w:eastAsia="Times New Roman"/>
          <w:sz w:val="22"/>
          <w:lang w:val="fr-CH" w:eastAsia="de-DE"/>
        </w:rPr>
        <w:t>le renouvellement des systèmes à numériser et à centraliser, tels que les installations de sécurité</w:t>
      </w:r>
      <w:r w:rsidR="004E704C">
        <w:rPr>
          <w:rFonts w:eastAsia="Times New Roman"/>
          <w:sz w:val="22"/>
          <w:lang w:val="fr-CH" w:eastAsia="de-DE"/>
        </w:rPr>
        <w:t>, sur les étapes d’aménagement</w:t>
      </w:r>
      <w:r w:rsidRPr="008842D9">
        <w:rPr>
          <w:rFonts w:eastAsia="Times New Roman"/>
          <w:sz w:val="22"/>
          <w:lang w:val="fr-CH" w:eastAsia="de-DE"/>
        </w:rPr>
        <w:t xml:space="preserve"> de manière à obtenir un</w:t>
      </w:r>
      <w:r w:rsidR="004E704C">
        <w:rPr>
          <w:rFonts w:eastAsia="Times New Roman"/>
          <w:sz w:val="22"/>
          <w:lang w:val="fr-CH" w:eastAsia="de-DE"/>
        </w:rPr>
        <w:t>e mise au net</w:t>
      </w:r>
      <w:r w:rsidRPr="008842D9">
        <w:rPr>
          <w:rFonts w:eastAsia="Times New Roman"/>
          <w:sz w:val="22"/>
          <w:lang w:val="fr-CH" w:eastAsia="de-DE"/>
        </w:rPr>
        <w:t xml:space="preserve"> du paysage des systèmes et </w:t>
      </w:r>
      <w:r w:rsidR="004E704C">
        <w:rPr>
          <w:rFonts w:eastAsia="Times New Roman"/>
          <w:sz w:val="22"/>
          <w:lang w:val="fr-CH" w:eastAsia="de-DE"/>
        </w:rPr>
        <w:t>une réduction des</w:t>
      </w:r>
      <w:r w:rsidRPr="008842D9">
        <w:rPr>
          <w:rFonts w:eastAsia="Times New Roman"/>
          <w:sz w:val="22"/>
          <w:lang w:val="fr-CH" w:eastAsia="de-DE"/>
        </w:rPr>
        <w:t xml:space="preserve"> interfaces.</w:t>
      </w:r>
    </w:p>
    <w:p w14:paraId="68C4F10A" w14:textId="487249C7" w:rsidR="00122015" w:rsidRPr="00122015" w:rsidRDefault="008C345D" w:rsidP="00122015">
      <w:pPr>
        <w:tabs>
          <w:tab w:val="left" w:pos="567"/>
        </w:tabs>
        <w:spacing w:before="80" w:line="240" w:lineRule="auto"/>
        <w:ind w:left="567" w:hanging="357"/>
        <w:jc w:val="both"/>
        <w:rPr>
          <w:rFonts w:eastAsia="Times New Roman"/>
          <w:sz w:val="22"/>
          <w:lang w:val="fr-CH" w:eastAsia="de-DE"/>
        </w:rPr>
      </w:pPr>
      <w:r w:rsidRPr="008C345D">
        <w:rPr>
          <w:rFonts w:eastAsia="Times New Roman"/>
          <w:sz w:val="22"/>
          <w:lang w:val="fr-CH" w:eastAsia="de-DE"/>
        </w:rPr>
        <w:t>e</w:t>
      </w:r>
      <w:r w:rsidR="00122015" w:rsidRPr="00122015">
        <w:rPr>
          <w:rFonts w:eastAsia="Times New Roman"/>
          <w:sz w:val="22"/>
          <w:lang w:val="fr-CH" w:eastAsia="de-DE"/>
        </w:rPr>
        <w:t>.</w:t>
      </w:r>
      <w:r w:rsidR="00122015" w:rsidRPr="00122015">
        <w:rPr>
          <w:rFonts w:eastAsia="Times New Roman"/>
          <w:sz w:val="22"/>
          <w:lang w:val="fr-CH" w:eastAsia="de-DE"/>
        </w:rPr>
        <w:tab/>
      </w:r>
      <w:r w:rsidR="008842D9">
        <w:rPr>
          <w:rFonts w:eastAsia="Times New Roman"/>
          <w:sz w:val="22"/>
          <w:lang w:val="fr-CH" w:eastAsia="de-DE"/>
        </w:rPr>
        <w:t>E</w:t>
      </w:r>
      <w:r w:rsidR="00122015" w:rsidRPr="00122015">
        <w:rPr>
          <w:rFonts w:eastAsia="Times New Roman"/>
          <w:sz w:val="22"/>
          <w:lang w:val="fr-CH" w:eastAsia="de-DE"/>
        </w:rPr>
        <w:t xml:space="preserve">n se basant sur sa stratégie de </w:t>
      </w:r>
      <w:r w:rsidR="00377436">
        <w:rPr>
          <w:rFonts w:eastAsia="Times New Roman"/>
          <w:sz w:val="22"/>
          <w:lang w:val="fr-CH" w:eastAsia="de-DE"/>
        </w:rPr>
        <w:t>maintenance</w:t>
      </w:r>
      <w:r w:rsidR="00122015" w:rsidRPr="00122015">
        <w:rPr>
          <w:rFonts w:eastAsia="Times New Roman"/>
          <w:sz w:val="22"/>
          <w:lang w:val="fr-CH" w:eastAsia="de-DE"/>
        </w:rPr>
        <w:t>, l’entreprise garantit une grande sécurité de planification des besoins en investissements et actualise continuellement la planification</w:t>
      </w:r>
      <w:r w:rsidR="008842D9">
        <w:rPr>
          <w:rFonts w:eastAsia="Times New Roman"/>
          <w:sz w:val="22"/>
          <w:lang w:val="fr-CH" w:eastAsia="de-DE"/>
        </w:rPr>
        <w:t>.</w:t>
      </w:r>
    </w:p>
    <w:p w14:paraId="665FE8DE" w14:textId="638545CF" w:rsidR="00122015" w:rsidRPr="00122015" w:rsidRDefault="008C345D" w:rsidP="00122015">
      <w:pPr>
        <w:tabs>
          <w:tab w:val="left" w:pos="567"/>
        </w:tabs>
        <w:spacing w:before="80" w:line="240" w:lineRule="auto"/>
        <w:ind w:left="567" w:hanging="357"/>
        <w:jc w:val="both"/>
        <w:rPr>
          <w:rFonts w:eastAsia="Times New Roman"/>
          <w:sz w:val="22"/>
          <w:lang w:val="fr-CH" w:eastAsia="de-DE"/>
        </w:rPr>
      </w:pPr>
      <w:r w:rsidRPr="008C345D">
        <w:rPr>
          <w:rFonts w:eastAsia="Times New Roman"/>
          <w:sz w:val="22"/>
          <w:lang w:val="fr-CH" w:eastAsia="de-DE"/>
        </w:rPr>
        <w:t>f</w:t>
      </w:r>
      <w:r w:rsidR="00122015" w:rsidRPr="00122015">
        <w:rPr>
          <w:rFonts w:eastAsia="Times New Roman"/>
          <w:sz w:val="22"/>
          <w:lang w:val="fr-CH" w:eastAsia="de-DE"/>
        </w:rPr>
        <w:t>.</w:t>
      </w:r>
      <w:r w:rsidR="00122015" w:rsidRPr="00122015">
        <w:rPr>
          <w:rFonts w:eastAsia="Times New Roman"/>
          <w:sz w:val="22"/>
          <w:lang w:val="fr-CH" w:eastAsia="de-DE"/>
        </w:rPr>
        <w:tab/>
      </w:r>
      <w:r w:rsidR="008842D9">
        <w:rPr>
          <w:rFonts w:eastAsia="Times New Roman"/>
          <w:sz w:val="22"/>
          <w:lang w:val="fr-CH" w:eastAsia="de-DE"/>
        </w:rPr>
        <w:t>L</w:t>
      </w:r>
      <w:r w:rsidR="00122015" w:rsidRPr="00122015">
        <w:rPr>
          <w:rFonts w:eastAsia="Times New Roman"/>
          <w:sz w:val="22"/>
          <w:lang w:val="fr-CH" w:eastAsia="de-DE"/>
        </w:rPr>
        <w:t xml:space="preserve">’entreprise coordonne systématiquement </w:t>
      </w:r>
      <w:r w:rsidR="00377436">
        <w:rPr>
          <w:rFonts w:eastAsia="Times New Roman"/>
          <w:sz w:val="22"/>
          <w:lang w:val="fr-CH" w:eastAsia="de-DE"/>
        </w:rPr>
        <w:t>la maintenance</w:t>
      </w:r>
      <w:r w:rsidR="00122015" w:rsidRPr="00122015">
        <w:rPr>
          <w:rFonts w:eastAsia="Times New Roman"/>
          <w:sz w:val="22"/>
          <w:lang w:val="fr-CH" w:eastAsia="de-DE"/>
        </w:rPr>
        <w:t xml:space="preserve"> et les aménagements avec la planification de l’offre et procède à d’éventuelles adaptions conceptuelles ou stratégiques en concertation et coordination avec l’OFT. Outre la stratégie d’utilisation du réseau, l’entreprise doit établir en plus</w:t>
      </w:r>
      <w:r w:rsidR="00C20962">
        <w:rPr>
          <w:rFonts w:eastAsia="Times New Roman"/>
          <w:sz w:val="22"/>
          <w:lang w:val="fr-CH" w:eastAsia="de-DE"/>
        </w:rPr>
        <w:t>, pour chaque tronçon une conception qui</w:t>
      </w:r>
      <w:r w:rsidR="008842D9">
        <w:rPr>
          <w:rFonts w:eastAsia="Times New Roman"/>
          <w:sz w:val="22"/>
          <w:lang w:val="fr-CH" w:eastAsia="de-DE"/>
        </w:rPr>
        <w:t> </w:t>
      </w:r>
      <w:r w:rsidR="00122015" w:rsidRPr="00122015">
        <w:rPr>
          <w:rFonts w:eastAsia="Times New Roman"/>
          <w:sz w:val="22"/>
          <w:lang w:val="fr-CH" w:eastAsia="de-DE"/>
        </w:rPr>
        <w:t>:</w:t>
      </w:r>
    </w:p>
    <w:p w14:paraId="08757D7F" w14:textId="6CCC7F11" w:rsidR="00122015" w:rsidRPr="00BF5802" w:rsidRDefault="00122015" w:rsidP="00122015">
      <w:pPr>
        <w:tabs>
          <w:tab w:val="left" w:pos="567"/>
        </w:tabs>
        <w:spacing w:before="80" w:line="240" w:lineRule="auto"/>
        <w:ind w:left="708" w:hanging="498"/>
        <w:jc w:val="both"/>
        <w:rPr>
          <w:rFonts w:eastAsia="Times New Roman"/>
          <w:sz w:val="22"/>
          <w:lang w:val="fr-CH" w:eastAsia="de-DE"/>
        </w:rPr>
      </w:pPr>
      <w:r w:rsidRPr="00BF5802">
        <w:rPr>
          <w:rFonts w:eastAsia="Times New Roman"/>
          <w:sz w:val="22"/>
          <w:lang w:val="fr-CH" w:eastAsia="de-DE"/>
        </w:rPr>
        <w:tab/>
        <w:t>-</w:t>
      </w:r>
      <w:r w:rsidRPr="00BF5802">
        <w:rPr>
          <w:rFonts w:eastAsia="Times New Roman"/>
          <w:sz w:val="22"/>
          <w:lang w:val="fr-CH" w:eastAsia="de-DE"/>
        </w:rPr>
        <w:tab/>
      </w:r>
      <w:r w:rsidRPr="00122015">
        <w:rPr>
          <w:rFonts w:eastAsia="Times New Roman"/>
          <w:sz w:val="22"/>
          <w:lang w:val="fr-CH" w:eastAsia="de-DE"/>
        </w:rPr>
        <w:t>indique</w:t>
      </w:r>
      <w:r w:rsidRPr="00BF5802">
        <w:rPr>
          <w:rFonts w:eastAsia="Times New Roman"/>
          <w:sz w:val="22"/>
          <w:lang w:val="fr-CH" w:eastAsia="de-DE"/>
        </w:rPr>
        <w:t xml:space="preserve"> au moins les longueurs de train admises, la longueur utile des quais, les restrictions à une utilisation autonome des installations d’accueil des voyageurs et la capacité théorique et effective du </w:t>
      </w:r>
      <w:proofErr w:type="gramStart"/>
      <w:r w:rsidRPr="00BF5802">
        <w:rPr>
          <w:rFonts w:eastAsia="Times New Roman"/>
          <w:sz w:val="22"/>
          <w:lang w:val="fr-CH" w:eastAsia="de-DE"/>
        </w:rPr>
        <w:t>tronçon;</w:t>
      </w:r>
      <w:proofErr w:type="gramEnd"/>
    </w:p>
    <w:p w14:paraId="1E5C1362" w14:textId="2BE780E4" w:rsidR="00122015" w:rsidRPr="00BF5802" w:rsidRDefault="00122015" w:rsidP="00122015">
      <w:pPr>
        <w:tabs>
          <w:tab w:val="left" w:pos="567"/>
        </w:tabs>
        <w:spacing w:before="80" w:line="240" w:lineRule="auto"/>
        <w:ind w:left="708" w:hanging="498"/>
        <w:jc w:val="both"/>
        <w:rPr>
          <w:rFonts w:eastAsia="Times New Roman"/>
          <w:sz w:val="22"/>
          <w:lang w:val="fr-CH" w:eastAsia="de-DE"/>
        </w:rPr>
      </w:pPr>
      <w:r w:rsidRPr="00BF5802">
        <w:rPr>
          <w:rFonts w:eastAsia="Times New Roman"/>
          <w:sz w:val="22"/>
          <w:lang w:val="fr-CH" w:eastAsia="de-DE"/>
        </w:rPr>
        <w:tab/>
        <w:t>-</w:t>
      </w:r>
      <w:r w:rsidRPr="00BF5802">
        <w:rPr>
          <w:rFonts w:eastAsia="Times New Roman"/>
          <w:sz w:val="22"/>
          <w:lang w:val="fr-CH" w:eastAsia="de-DE"/>
        </w:rPr>
        <w:tab/>
      </w:r>
      <w:r w:rsidR="00C20962">
        <w:rPr>
          <w:rFonts w:eastAsia="Times New Roman"/>
          <w:sz w:val="22"/>
          <w:lang w:val="fr-CH" w:eastAsia="de-DE"/>
        </w:rPr>
        <w:t xml:space="preserve">contient </w:t>
      </w:r>
      <w:r w:rsidRPr="00122015">
        <w:rPr>
          <w:rFonts w:eastAsia="Times New Roman"/>
          <w:sz w:val="22"/>
          <w:lang w:val="fr-CH" w:eastAsia="de-DE"/>
        </w:rPr>
        <w:t xml:space="preserve">les fonctionnalités et capacités des installations qui figurent dans </w:t>
      </w:r>
      <w:r w:rsidR="00C20962">
        <w:rPr>
          <w:rFonts w:eastAsia="Times New Roman"/>
          <w:sz w:val="22"/>
          <w:lang w:val="fr-CH" w:eastAsia="de-DE"/>
        </w:rPr>
        <w:t xml:space="preserve">la </w:t>
      </w:r>
      <w:r w:rsidR="00207CB6" w:rsidRPr="00207CB6">
        <w:rPr>
          <w:rFonts w:eastAsia="Times New Roman"/>
          <w:sz w:val="22"/>
          <w:lang w:val="fr-CH" w:eastAsia="de-DE"/>
        </w:rPr>
        <w:t xml:space="preserve">conception </w:t>
      </w:r>
      <w:r w:rsidR="00C20962">
        <w:rPr>
          <w:rFonts w:eastAsia="Times New Roman"/>
          <w:sz w:val="22"/>
          <w:lang w:val="fr-CH" w:eastAsia="de-DE"/>
        </w:rPr>
        <w:t>pour le fret</w:t>
      </w:r>
      <w:r w:rsidR="00207CB6" w:rsidRPr="00207CB6">
        <w:rPr>
          <w:rFonts w:eastAsia="Times New Roman"/>
          <w:sz w:val="22"/>
          <w:lang w:val="fr-CH" w:eastAsia="de-DE"/>
        </w:rPr>
        <w:t xml:space="preserve"> ferroviaire et tient compte des exigences </w:t>
      </w:r>
      <w:r w:rsidR="00C20962">
        <w:rPr>
          <w:rFonts w:eastAsia="Times New Roman"/>
          <w:sz w:val="22"/>
          <w:lang w:val="fr-CH" w:eastAsia="de-DE"/>
        </w:rPr>
        <w:t xml:space="preserve">de l’automatisation </w:t>
      </w:r>
      <w:r w:rsidR="00207CB6" w:rsidRPr="00207CB6">
        <w:rPr>
          <w:rFonts w:eastAsia="Times New Roman"/>
          <w:sz w:val="22"/>
          <w:lang w:val="fr-CH" w:eastAsia="de-DE"/>
        </w:rPr>
        <w:t>du fret ferroviaire</w:t>
      </w:r>
      <w:r w:rsidRPr="00122015">
        <w:rPr>
          <w:rFonts w:eastAsia="Times New Roman"/>
          <w:sz w:val="22"/>
          <w:lang w:val="fr-CH" w:eastAsia="de-DE"/>
        </w:rPr>
        <w:t>.</w:t>
      </w:r>
    </w:p>
    <w:p w14:paraId="6AF57E11" w14:textId="634576F3" w:rsidR="00243EBA" w:rsidRPr="00E4385B" w:rsidRDefault="00243EBA" w:rsidP="00617E6D">
      <w:pPr>
        <w:pStyle w:val="TitelArtikelKomm"/>
        <w:spacing w:line="360" w:lineRule="auto"/>
        <w:rPr>
          <w:rFonts w:ascii="Arial" w:hAnsi="Arial" w:cs="Arial"/>
          <w:b/>
          <w:i w:val="0"/>
          <w:sz w:val="22"/>
          <w:lang w:val="fr-CH"/>
        </w:rPr>
      </w:pPr>
      <w:r w:rsidRPr="00E4385B">
        <w:rPr>
          <w:rFonts w:ascii="Arial" w:hAnsi="Arial" w:cs="Arial"/>
          <w:b/>
          <w:i w:val="0"/>
          <w:sz w:val="22"/>
          <w:lang w:val="fr-CH"/>
        </w:rPr>
        <w:t>Art.</w:t>
      </w:r>
      <w:r w:rsidR="00207CB6">
        <w:rPr>
          <w:rFonts w:ascii="Arial" w:hAnsi="Arial" w:cs="Arial"/>
          <w:b/>
          <w:i w:val="0"/>
          <w:sz w:val="22"/>
          <w:lang w:val="fr-CH"/>
        </w:rPr>
        <w:t> </w:t>
      </w:r>
      <w:r w:rsidRPr="00E4385B">
        <w:rPr>
          <w:rFonts w:ascii="Arial" w:hAnsi="Arial" w:cs="Arial"/>
          <w:b/>
          <w:i w:val="0"/>
          <w:sz w:val="22"/>
          <w:lang w:val="fr-CH"/>
        </w:rPr>
        <w:t>8</w:t>
      </w:r>
      <w:r w:rsidRPr="00E4385B">
        <w:rPr>
          <w:rFonts w:ascii="Arial" w:hAnsi="Arial" w:cs="Arial"/>
          <w:b/>
          <w:i w:val="0"/>
          <w:sz w:val="22"/>
          <w:lang w:val="fr-CH"/>
        </w:rPr>
        <w:tab/>
        <w:t>Effi</w:t>
      </w:r>
      <w:r w:rsidR="00207CB6">
        <w:rPr>
          <w:rFonts w:ascii="Arial" w:hAnsi="Arial" w:cs="Arial"/>
          <w:b/>
          <w:i w:val="0"/>
          <w:sz w:val="22"/>
          <w:lang w:val="fr-CH"/>
        </w:rPr>
        <w:t>c</w:t>
      </w:r>
      <w:r w:rsidRPr="00E4385B">
        <w:rPr>
          <w:rFonts w:ascii="Arial" w:hAnsi="Arial" w:cs="Arial"/>
          <w:b/>
          <w:i w:val="0"/>
          <w:sz w:val="22"/>
          <w:lang w:val="fr-CH"/>
        </w:rPr>
        <w:t>ien</w:t>
      </w:r>
      <w:r w:rsidR="00207CB6">
        <w:rPr>
          <w:rFonts w:ascii="Arial" w:hAnsi="Arial" w:cs="Arial"/>
          <w:b/>
          <w:i w:val="0"/>
          <w:sz w:val="22"/>
          <w:lang w:val="fr-CH"/>
        </w:rPr>
        <w:t>ce</w:t>
      </w:r>
      <w:r w:rsidR="00907998" w:rsidRPr="00E4385B">
        <w:rPr>
          <w:rFonts w:ascii="Arial" w:hAnsi="Arial" w:cs="Arial"/>
          <w:b/>
          <w:i w:val="0"/>
          <w:sz w:val="22"/>
          <w:lang w:val="fr-CH"/>
        </w:rPr>
        <w:t xml:space="preserve"> </w:t>
      </w:r>
      <w:r w:rsidR="00207CB6">
        <w:rPr>
          <w:rFonts w:ascii="Arial" w:hAnsi="Arial" w:cs="Arial"/>
          <w:b/>
          <w:i w:val="0"/>
          <w:sz w:val="22"/>
          <w:lang w:val="fr-CH"/>
        </w:rPr>
        <w:t>et durabilité</w:t>
      </w:r>
    </w:p>
    <w:p w14:paraId="0069CEE7" w14:textId="016A491C" w:rsidR="00207CB6" w:rsidRPr="00207CB6" w:rsidRDefault="00207CB6" w:rsidP="00207CB6">
      <w:pPr>
        <w:pStyle w:val="Struktur1"/>
        <w:tabs>
          <w:tab w:val="clear" w:pos="567"/>
        </w:tabs>
        <w:spacing w:line="240" w:lineRule="auto"/>
        <w:ind w:left="142" w:firstLine="0"/>
        <w:rPr>
          <w:rFonts w:ascii="Arial" w:hAnsi="Arial" w:cs="Arial"/>
          <w:sz w:val="22"/>
          <w:szCs w:val="22"/>
          <w:lang w:val="fr-CH"/>
        </w:rPr>
      </w:pPr>
      <w:r w:rsidRPr="00207CB6">
        <w:rPr>
          <w:rFonts w:ascii="Arial" w:hAnsi="Arial" w:cs="Arial"/>
          <w:sz w:val="22"/>
          <w:szCs w:val="22"/>
          <w:lang w:val="fr-CH"/>
        </w:rPr>
        <w:t>L’entreprise augmente la productivité de l’exploitation de l’infrastructure pour garantir une utilisation durable et effic</w:t>
      </w:r>
      <w:r>
        <w:rPr>
          <w:rFonts w:ascii="Arial" w:hAnsi="Arial" w:cs="Arial"/>
          <w:sz w:val="22"/>
          <w:szCs w:val="22"/>
          <w:lang w:val="fr-CH"/>
        </w:rPr>
        <w:t>iente</w:t>
      </w:r>
      <w:r w:rsidRPr="00207CB6">
        <w:rPr>
          <w:rFonts w:ascii="Arial" w:hAnsi="Arial" w:cs="Arial"/>
          <w:sz w:val="22"/>
          <w:szCs w:val="22"/>
          <w:lang w:val="fr-CH"/>
        </w:rPr>
        <w:t xml:space="preserve"> des ressources disponibles. L’effic</w:t>
      </w:r>
      <w:r>
        <w:rPr>
          <w:rFonts w:ascii="Arial" w:hAnsi="Arial" w:cs="Arial"/>
          <w:sz w:val="22"/>
          <w:szCs w:val="22"/>
          <w:lang w:val="fr-CH"/>
        </w:rPr>
        <w:t>ience</w:t>
      </w:r>
      <w:r w:rsidRPr="00207CB6">
        <w:rPr>
          <w:rFonts w:ascii="Arial" w:hAnsi="Arial" w:cs="Arial"/>
          <w:sz w:val="22"/>
          <w:szCs w:val="22"/>
          <w:lang w:val="fr-CH"/>
        </w:rPr>
        <w:t xml:space="preserve"> des subventions allouées par la Confédération est ainsi augmentée comme suit</w:t>
      </w:r>
      <w:r>
        <w:rPr>
          <w:rFonts w:ascii="Arial" w:hAnsi="Arial" w:cs="Arial"/>
          <w:sz w:val="22"/>
          <w:szCs w:val="22"/>
          <w:lang w:val="fr-CH"/>
        </w:rPr>
        <w:t> </w:t>
      </w:r>
      <w:r w:rsidRPr="00207CB6">
        <w:rPr>
          <w:rFonts w:ascii="Arial" w:hAnsi="Arial" w:cs="Arial"/>
          <w:sz w:val="22"/>
          <w:szCs w:val="22"/>
          <w:lang w:val="fr-CH"/>
        </w:rPr>
        <w:t>:</w:t>
      </w:r>
    </w:p>
    <w:p w14:paraId="763312C9" w14:textId="278FD3EB" w:rsidR="00207CB6" w:rsidRPr="00207CB6" w:rsidRDefault="00207CB6" w:rsidP="00207CB6">
      <w:pPr>
        <w:pStyle w:val="Struktur1"/>
        <w:spacing w:line="240" w:lineRule="auto"/>
        <w:rPr>
          <w:rFonts w:ascii="Arial" w:hAnsi="Arial" w:cs="Arial"/>
          <w:sz w:val="22"/>
          <w:szCs w:val="22"/>
          <w:lang w:val="fr-CH"/>
        </w:rPr>
      </w:pPr>
      <w:r w:rsidRPr="00207CB6">
        <w:rPr>
          <w:rFonts w:ascii="Arial" w:hAnsi="Arial" w:cs="Arial"/>
          <w:sz w:val="22"/>
          <w:szCs w:val="22"/>
          <w:lang w:val="fr-CH"/>
        </w:rPr>
        <w:t>a.</w:t>
      </w:r>
      <w:r w:rsidRPr="00207CB6">
        <w:rPr>
          <w:rFonts w:ascii="Arial" w:hAnsi="Arial" w:cs="Arial"/>
          <w:sz w:val="22"/>
          <w:szCs w:val="22"/>
          <w:lang w:val="fr-CH"/>
        </w:rPr>
        <w:tab/>
      </w:r>
      <w:r w:rsidR="006235A5">
        <w:rPr>
          <w:rFonts w:ascii="Arial" w:hAnsi="Arial" w:cs="Arial"/>
          <w:sz w:val="22"/>
          <w:szCs w:val="22"/>
          <w:lang w:val="fr-CH"/>
        </w:rPr>
        <w:t>L’e</w:t>
      </w:r>
      <w:r w:rsidRPr="00207CB6">
        <w:rPr>
          <w:rFonts w:ascii="Arial" w:hAnsi="Arial" w:cs="Arial"/>
          <w:sz w:val="22"/>
          <w:szCs w:val="22"/>
          <w:lang w:val="fr-CH"/>
        </w:rPr>
        <w:t xml:space="preserve">ntreprise applique sa stratégie </w:t>
      </w:r>
      <w:r w:rsidR="00C20962">
        <w:rPr>
          <w:rFonts w:ascii="Arial" w:hAnsi="Arial" w:cs="Arial"/>
          <w:sz w:val="22"/>
          <w:szCs w:val="22"/>
          <w:lang w:val="fr-CH"/>
        </w:rPr>
        <w:t>relative aux</w:t>
      </w:r>
      <w:r w:rsidRPr="00207CB6">
        <w:rPr>
          <w:rFonts w:ascii="Arial" w:hAnsi="Arial" w:cs="Arial"/>
          <w:sz w:val="22"/>
          <w:szCs w:val="22"/>
          <w:lang w:val="fr-CH"/>
        </w:rPr>
        <w:t xml:space="preserve"> installations de manière à </w:t>
      </w:r>
      <w:r w:rsidR="00C20962">
        <w:rPr>
          <w:rFonts w:ascii="Arial" w:hAnsi="Arial" w:cs="Arial"/>
          <w:sz w:val="22"/>
          <w:szCs w:val="22"/>
          <w:lang w:val="fr-CH"/>
        </w:rPr>
        <w:t>augmenter</w:t>
      </w:r>
      <w:r w:rsidRPr="00207CB6">
        <w:rPr>
          <w:rFonts w:ascii="Arial" w:hAnsi="Arial" w:cs="Arial"/>
          <w:sz w:val="22"/>
          <w:szCs w:val="22"/>
          <w:lang w:val="fr-CH"/>
        </w:rPr>
        <w:t xml:space="preserve"> continuellement l’effic</w:t>
      </w:r>
      <w:r>
        <w:rPr>
          <w:rFonts w:ascii="Arial" w:hAnsi="Arial" w:cs="Arial"/>
          <w:sz w:val="22"/>
          <w:szCs w:val="22"/>
          <w:lang w:val="fr-CH"/>
        </w:rPr>
        <w:t>ience</w:t>
      </w:r>
      <w:r w:rsidRPr="00207CB6">
        <w:rPr>
          <w:rFonts w:ascii="Arial" w:hAnsi="Arial" w:cs="Arial"/>
          <w:sz w:val="22"/>
          <w:szCs w:val="22"/>
          <w:lang w:val="fr-CH"/>
        </w:rPr>
        <w:t xml:space="preserve"> des moyens financiers utilisés (rapport coûts-performances) au niveau de l’exploitation et </w:t>
      </w:r>
      <w:r w:rsidR="00377436">
        <w:rPr>
          <w:rFonts w:ascii="Arial" w:hAnsi="Arial" w:cs="Arial"/>
          <w:sz w:val="22"/>
          <w:szCs w:val="22"/>
          <w:lang w:val="fr-CH"/>
        </w:rPr>
        <w:t>de la maintenance</w:t>
      </w:r>
      <w:r w:rsidR="006235A5">
        <w:rPr>
          <w:rFonts w:ascii="Arial" w:hAnsi="Arial" w:cs="Arial"/>
          <w:sz w:val="22"/>
          <w:szCs w:val="22"/>
          <w:lang w:val="fr-CH"/>
        </w:rPr>
        <w:t>.</w:t>
      </w:r>
    </w:p>
    <w:p w14:paraId="2064A2EE" w14:textId="53C19418" w:rsidR="00207CB6" w:rsidRDefault="00207CB6" w:rsidP="00207CB6">
      <w:pPr>
        <w:pStyle w:val="Struktur1"/>
        <w:spacing w:line="240" w:lineRule="auto"/>
        <w:rPr>
          <w:rFonts w:ascii="Arial" w:hAnsi="Arial" w:cs="Arial"/>
          <w:sz w:val="22"/>
          <w:szCs w:val="22"/>
          <w:lang w:val="fr-CH"/>
        </w:rPr>
      </w:pPr>
      <w:r w:rsidRPr="00207CB6">
        <w:rPr>
          <w:rFonts w:ascii="Arial" w:hAnsi="Arial" w:cs="Arial"/>
          <w:sz w:val="22"/>
          <w:szCs w:val="22"/>
          <w:lang w:val="fr-CH"/>
        </w:rPr>
        <w:t>b.</w:t>
      </w:r>
      <w:r w:rsidRPr="00207CB6">
        <w:rPr>
          <w:rFonts w:ascii="Arial" w:hAnsi="Arial" w:cs="Arial"/>
          <w:sz w:val="22"/>
          <w:szCs w:val="22"/>
          <w:lang w:val="fr-CH"/>
        </w:rPr>
        <w:tab/>
      </w:r>
      <w:r w:rsidR="006235A5">
        <w:rPr>
          <w:rFonts w:ascii="Arial" w:hAnsi="Arial" w:cs="Arial"/>
          <w:sz w:val="22"/>
          <w:szCs w:val="22"/>
          <w:lang w:val="fr-CH"/>
        </w:rPr>
        <w:t>A</w:t>
      </w:r>
      <w:r w:rsidRPr="00207CB6">
        <w:rPr>
          <w:rFonts w:ascii="Arial" w:hAnsi="Arial" w:cs="Arial"/>
          <w:sz w:val="22"/>
          <w:szCs w:val="22"/>
          <w:lang w:val="fr-CH"/>
        </w:rPr>
        <w:t xml:space="preserve">vec sa stratégie </w:t>
      </w:r>
      <w:r w:rsidR="00C20962">
        <w:rPr>
          <w:rFonts w:ascii="Arial" w:hAnsi="Arial" w:cs="Arial"/>
          <w:sz w:val="22"/>
          <w:szCs w:val="22"/>
          <w:lang w:val="fr-CH"/>
        </w:rPr>
        <w:t>relative aux</w:t>
      </w:r>
      <w:r w:rsidRPr="00207CB6">
        <w:rPr>
          <w:rFonts w:ascii="Arial" w:hAnsi="Arial" w:cs="Arial"/>
          <w:sz w:val="22"/>
          <w:szCs w:val="22"/>
          <w:lang w:val="fr-CH"/>
        </w:rPr>
        <w:t xml:space="preserve"> installations, l’entreprise garantit une utilisation durable et effic</w:t>
      </w:r>
      <w:r>
        <w:rPr>
          <w:rFonts w:ascii="Arial" w:hAnsi="Arial" w:cs="Arial"/>
          <w:sz w:val="22"/>
          <w:szCs w:val="22"/>
          <w:lang w:val="fr-CH"/>
        </w:rPr>
        <w:t>iente</w:t>
      </w:r>
      <w:r w:rsidRPr="00207CB6">
        <w:rPr>
          <w:rFonts w:ascii="Arial" w:hAnsi="Arial" w:cs="Arial"/>
          <w:sz w:val="22"/>
          <w:szCs w:val="22"/>
          <w:lang w:val="fr-CH"/>
        </w:rPr>
        <w:t xml:space="preserve"> des ressources disponibles et optimise ainsi les coûts d’investissement et les coûts subséquents pour l’infrastructure</w:t>
      </w:r>
      <w:r w:rsidR="006235A5">
        <w:rPr>
          <w:rFonts w:ascii="Arial" w:hAnsi="Arial" w:cs="Arial"/>
          <w:sz w:val="22"/>
          <w:szCs w:val="22"/>
          <w:lang w:val="fr-CH"/>
        </w:rPr>
        <w:t>.</w:t>
      </w:r>
    </w:p>
    <w:p w14:paraId="44E3F8C1" w14:textId="445B3FA0" w:rsidR="00207CB6" w:rsidRDefault="00207CB6" w:rsidP="00207CB6">
      <w:pPr>
        <w:pStyle w:val="Struktur1"/>
        <w:spacing w:line="240" w:lineRule="auto"/>
        <w:rPr>
          <w:rFonts w:ascii="Arial" w:hAnsi="Arial" w:cs="Arial"/>
          <w:sz w:val="22"/>
          <w:szCs w:val="22"/>
          <w:lang w:val="fr-CH"/>
        </w:rPr>
      </w:pPr>
      <w:r>
        <w:rPr>
          <w:rFonts w:ascii="Arial" w:hAnsi="Arial" w:cs="Arial"/>
          <w:sz w:val="22"/>
          <w:szCs w:val="22"/>
          <w:lang w:val="fr-CH"/>
        </w:rPr>
        <w:t>c.</w:t>
      </w:r>
      <w:r>
        <w:rPr>
          <w:rFonts w:ascii="Arial" w:hAnsi="Arial" w:cs="Arial"/>
          <w:sz w:val="22"/>
          <w:szCs w:val="22"/>
          <w:lang w:val="fr-CH"/>
        </w:rPr>
        <w:tab/>
      </w:r>
      <w:r w:rsidR="006235A5">
        <w:rPr>
          <w:rFonts w:ascii="Arial" w:hAnsi="Arial" w:cs="Arial"/>
          <w:sz w:val="22"/>
          <w:szCs w:val="22"/>
          <w:lang w:val="fr-CH"/>
        </w:rPr>
        <w:t>L</w:t>
      </w:r>
      <w:r>
        <w:rPr>
          <w:rFonts w:ascii="Arial" w:hAnsi="Arial" w:cs="Arial"/>
          <w:sz w:val="22"/>
          <w:szCs w:val="22"/>
          <w:lang w:val="fr-CH"/>
        </w:rPr>
        <w:t>’</w:t>
      </w:r>
      <w:r w:rsidRPr="00207CB6">
        <w:rPr>
          <w:rFonts w:ascii="Arial" w:hAnsi="Arial" w:cs="Arial"/>
          <w:sz w:val="22"/>
          <w:szCs w:val="22"/>
          <w:lang w:val="fr-CH"/>
        </w:rPr>
        <w:t>entreprise encourage l</w:t>
      </w:r>
      <w:r>
        <w:rPr>
          <w:rFonts w:ascii="Arial" w:hAnsi="Arial" w:cs="Arial"/>
          <w:sz w:val="22"/>
          <w:szCs w:val="22"/>
          <w:lang w:val="fr-CH"/>
        </w:rPr>
        <w:t>’</w:t>
      </w:r>
      <w:r w:rsidRPr="00207CB6">
        <w:rPr>
          <w:rFonts w:ascii="Arial" w:hAnsi="Arial" w:cs="Arial"/>
          <w:sz w:val="22"/>
          <w:szCs w:val="22"/>
          <w:lang w:val="fr-CH"/>
        </w:rPr>
        <w:t>innovation et la trans</w:t>
      </w:r>
      <w:r w:rsidR="00C20962">
        <w:rPr>
          <w:rFonts w:ascii="Arial" w:hAnsi="Arial" w:cs="Arial"/>
          <w:sz w:val="22"/>
          <w:szCs w:val="22"/>
          <w:lang w:val="fr-CH"/>
        </w:rPr>
        <w:t>ition</w:t>
      </w:r>
      <w:r w:rsidRPr="00207CB6">
        <w:rPr>
          <w:rFonts w:ascii="Arial" w:hAnsi="Arial" w:cs="Arial"/>
          <w:sz w:val="22"/>
          <w:szCs w:val="22"/>
          <w:lang w:val="fr-CH"/>
        </w:rPr>
        <w:t xml:space="preserve"> numérique et optimise continuellement ses processus. (</w:t>
      </w:r>
      <w:r>
        <w:rPr>
          <w:rFonts w:ascii="Arial" w:hAnsi="Arial" w:cs="Arial"/>
          <w:sz w:val="22"/>
          <w:szCs w:val="22"/>
          <w:lang w:val="fr-CH"/>
        </w:rPr>
        <w:t>GI</w:t>
      </w:r>
      <w:r w:rsidRPr="00207CB6">
        <w:rPr>
          <w:rFonts w:ascii="Arial" w:hAnsi="Arial" w:cs="Arial"/>
          <w:sz w:val="22"/>
          <w:szCs w:val="22"/>
          <w:lang w:val="fr-CH"/>
        </w:rPr>
        <w:t xml:space="preserve"> concerné</w:t>
      </w:r>
      <w:r>
        <w:rPr>
          <w:rFonts w:ascii="Arial" w:hAnsi="Arial" w:cs="Arial"/>
          <w:sz w:val="22"/>
          <w:szCs w:val="22"/>
          <w:lang w:val="fr-CH"/>
        </w:rPr>
        <w:t>s</w:t>
      </w:r>
      <w:r w:rsidRPr="00207CB6">
        <w:rPr>
          <w:rFonts w:ascii="Arial" w:hAnsi="Arial" w:cs="Arial"/>
          <w:sz w:val="22"/>
          <w:szCs w:val="22"/>
          <w:lang w:val="fr-CH"/>
        </w:rPr>
        <w:t xml:space="preserve"> uniquement)</w:t>
      </w:r>
      <w:r>
        <w:rPr>
          <w:rFonts w:ascii="Arial" w:hAnsi="Arial" w:cs="Arial"/>
          <w:sz w:val="22"/>
          <w:szCs w:val="22"/>
          <w:lang w:val="fr-CH"/>
        </w:rPr>
        <w:t> </w:t>
      </w:r>
      <w:r w:rsidRPr="00207CB6">
        <w:rPr>
          <w:rFonts w:ascii="Arial" w:hAnsi="Arial" w:cs="Arial"/>
          <w:sz w:val="22"/>
          <w:szCs w:val="22"/>
          <w:lang w:val="fr-CH"/>
        </w:rPr>
        <w:t xml:space="preserve">: </w:t>
      </w:r>
      <w:r>
        <w:rPr>
          <w:rFonts w:ascii="Arial" w:hAnsi="Arial" w:cs="Arial"/>
          <w:sz w:val="22"/>
          <w:szCs w:val="22"/>
          <w:lang w:val="fr-CH"/>
        </w:rPr>
        <w:t>en</w:t>
      </w:r>
      <w:r w:rsidRPr="00207CB6">
        <w:rPr>
          <w:rFonts w:ascii="Arial" w:hAnsi="Arial" w:cs="Arial"/>
          <w:sz w:val="22"/>
          <w:szCs w:val="22"/>
          <w:lang w:val="fr-CH"/>
        </w:rPr>
        <w:t xml:space="preserve"> respect</w:t>
      </w:r>
      <w:r>
        <w:rPr>
          <w:rFonts w:ascii="Arial" w:hAnsi="Arial" w:cs="Arial"/>
          <w:sz w:val="22"/>
          <w:szCs w:val="22"/>
          <w:lang w:val="fr-CH"/>
        </w:rPr>
        <w:t>ant</w:t>
      </w:r>
      <w:r w:rsidRPr="00207CB6">
        <w:rPr>
          <w:rFonts w:ascii="Arial" w:hAnsi="Arial" w:cs="Arial"/>
          <w:sz w:val="22"/>
          <w:szCs w:val="22"/>
          <w:lang w:val="fr-CH"/>
        </w:rPr>
        <w:t xml:space="preserve"> la stratégie ERTMS</w:t>
      </w:r>
      <w:r w:rsidR="006235A5">
        <w:rPr>
          <w:rFonts w:ascii="Arial" w:hAnsi="Arial" w:cs="Arial"/>
          <w:sz w:val="22"/>
          <w:szCs w:val="22"/>
          <w:lang w:val="fr-CH"/>
        </w:rPr>
        <w:t>.</w:t>
      </w:r>
    </w:p>
    <w:p w14:paraId="33FE6EBC" w14:textId="7BA4ADF8" w:rsidR="00207CB6" w:rsidRPr="00207CB6" w:rsidRDefault="00207CB6" w:rsidP="00207CB6">
      <w:pPr>
        <w:pStyle w:val="Struktur1"/>
        <w:spacing w:line="240" w:lineRule="auto"/>
        <w:rPr>
          <w:rFonts w:ascii="Arial" w:hAnsi="Arial" w:cs="Arial"/>
          <w:sz w:val="22"/>
          <w:szCs w:val="22"/>
          <w:lang w:val="fr-CH"/>
        </w:rPr>
      </w:pPr>
      <w:r>
        <w:rPr>
          <w:rFonts w:ascii="Arial" w:hAnsi="Arial" w:cs="Arial"/>
          <w:sz w:val="22"/>
          <w:szCs w:val="22"/>
          <w:lang w:val="fr-CH"/>
        </w:rPr>
        <w:t>d.</w:t>
      </w:r>
      <w:r>
        <w:rPr>
          <w:rFonts w:ascii="Arial" w:hAnsi="Arial" w:cs="Arial"/>
          <w:sz w:val="22"/>
          <w:szCs w:val="22"/>
          <w:lang w:val="fr-CH"/>
        </w:rPr>
        <w:tab/>
        <w:t>(entreprises concernées uniquement)</w:t>
      </w:r>
      <w:r w:rsidR="006235A5">
        <w:rPr>
          <w:rFonts w:ascii="Arial" w:hAnsi="Arial" w:cs="Arial"/>
          <w:sz w:val="22"/>
          <w:szCs w:val="22"/>
          <w:lang w:val="fr-CH"/>
        </w:rPr>
        <w:t xml:space="preserve"> </w:t>
      </w:r>
      <w:r w:rsidR="006235A5" w:rsidRPr="006235A5">
        <w:rPr>
          <w:rFonts w:ascii="Arial" w:hAnsi="Arial" w:cs="Arial"/>
          <w:sz w:val="22"/>
          <w:szCs w:val="22"/>
          <w:lang w:val="fr-CH"/>
        </w:rPr>
        <w:t>L</w:t>
      </w:r>
      <w:r w:rsidR="006235A5">
        <w:rPr>
          <w:rFonts w:ascii="Arial" w:hAnsi="Arial" w:cs="Arial"/>
          <w:sz w:val="22"/>
          <w:szCs w:val="22"/>
          <w:lang w:val="fr-CH"/>
        </w:rPr>
        <w:t>’</w:t>
      </w:r>
      <w:r w:rsidR="006235A5" w:rsidRPr="006235A5">
        <w:rPr>
          <w:rFonts w:ascii="Arial" w:hAnsi="Arial" w:cs="Arial"/>
          <w:sz w:val="22"/>
          <w:szCs w:val="22"/>
          <w:lang w:val="fr-CH"/>
        </w:rPr>
        <w:t>entreprise crée les bases et les conditions pour d</w:t>
      </w:r>
      <w:r w:rsidR="006235A5">
        <w:rPr>
          <w:rFonts w:ascii="Arial" w:hAnsi="Arial" w:cs="Arial"/>
          <w:sz w:val="22"/>
          <w:szCs w:val="22"/>
          <w:lang w:val="fr-CH"/>
        </w:rPr>
        <w:t>’</w:t>
      </w:r>
      <w:r w:rsidR="006235A5" w:rsidRPr="006235A5">
        <w:rPr>
          <w:rFonts w:ascii="Arial" w:hAnsi="Arial" w:cs="Arial"/>
          <w:sz w:val="22"/>
          <w:szCs w:val="22"/>
          <w:lang w:val="fr-CH"/>
        </w:rPr>
        <w:t>autres étapes d</w:t>
      </w:r>
      <w:r w:rsidR="006235A5">
        <w:rPr>
          <w:rFonts w:ascii="Arial" w:hAnsi="Arial" w:cs="Arial"/>
          <w:sz w:val="22"/>
          <w:szCs w:val="22"/>
          <w:lang w:val="fr-CH"/>
        </w:rPr>
        <w:t>’</w:t>
      </w:r>
      <w:r w:rsidR="006235A5" w:rsidRPr="006235A5">
        <w:rPr>
          <w:rFonts w:ascii="Arial" w:hAnsi="Arial" w:cs="Arial"/>
          <w:sz w:val="22"/>
          <w:szCs w:val="22"/>
          <w:lang w:val="fr-CH"/>
        </w:rPr>
        <w:t>automatisation et de numérisation dans la production ferroviaire en général ainsi que, par exemple, pour l</w:t>
      </w:r>
      <w:r w:rsidR="006235A5">
        <w:rPr>
          <w:rFonts w:ascii="Arial" w:hAnsi="Arial" w:cs="Arial"/>
          <w:sz w:val="22"/>
          <w:szCs w:val="22"/>
          <w:lang w:val="fr-CH"/>
        </w:rPr>
        <w:t>’</w:t>
      </w:r>
      <w:r w:rsidR="006235A5" w:rsidRPr="006235A5">
        <w:rPr>
          <w:rFonts w:ascii="Arial" w:hAnsi="Arial" w:cs="Arial"/>
          <w:sz w:val="22"/>
          <w:szCs w:val="22"/>
          <w:lang w:val="fr-CH"/>
        </w:rPr>
        <w:t>introduction de l</w:t>
      </w:r>
      <w:r w:rsidR="006235A5">
        <w:rPr>
          <w:rFonts w:ascii="Arial" w:hAnsi="Arial" w:cs="Arial"/>
          <w:sz w:val="22"/>
          <w:szCs w:val="22"/>
          <w:lang w:val="fr-CH"/>
        </w:rPr>
        <w:t>’</w:t>
      </w:r>
      <w:r w:rsidR="006235A5" w:rsidRPr="006235A5">
        <w:rPr>
          <w:rFonts w:ascii="Arial" w:hAnsi="Arial" w:cs="Arial"/>
          <w:sz w:val="22"/>
          <w:szCs w:val="22"/>
          <w:lang w:val="fr-CH"/>
        </w:rPr>
        <w:t xml:space="preserve">attelage automatique numérique </w:t>
      </w:r>
      <w:r w:rsidR="006235A5" w:rsidRPr="006235A5">
        <w:rPr>
          <w:rFonts w:ascii="Arial" w:hAnsi="Arial" w:cs="Arial"/>
          <w:sz w:val="22"/>
          <w:szCs w:val="22"/>
          <w:lang w:val="fr-CH"/>
        </w:rPr>
        <w:lastRenderedPageBreak/>
        <w:t>et l</w:t>
      </w:r>
      <w:r w:rsidR="006235A5">
        <w:rPr>
          <w:rFonts w:ascii="Arial" w:hAnsi="Arial" w:cs="Arial"/>
          <w:sz w:val="22"/>
          <w:szCs w:val="22"/>
          <w:lang w:val="fr-CH"/>
        </w:rPr>
        <w:t>’</w:t>
      </w:r>
      <w:r w:rsidR="006235A5" w:rsidRPr="006235A5">
        <w:rPr>
          <w:rFonts w:ascii="Arial" w:hAnsi="Arial" w:cs="Arial"/>
          <w:sz w:val="22"/>
          <w:szCs w:val="22"/>
          <w:lang w:val="fr-CH"/>
        </w:rPr>
        <w:t xml:space="preserve">utilisation de </w:t>
      </w:r>
      <w:proofErr w:type="spellStart"/>
      <w:r w:rsidR="006235A5" w:rsidRPr="006235A5">
        <w:rPr>
          <w:rFonts w:ascii="Arial" w:hAnsi="Arial" w:cs="Arial"/>
          <w:i/>
          <w:iCs/>
          <w:sz w:val="22"/>
          <w:szCs w:val="22"/>
          <w:lang w:val="fr-CH"/>
        </w:rPr>
        <w:t>Wayside</w:t>
      </w:r>
      <w:proofErr w:type="spellEnd"/>
      <w:r w:rsidR="006235A5" w:rsidRPr="006235A5">
        <w:rPr>
          <w:rFonts w:ascii="Arial" w:hAnsi="Arial" w:cs="Arial"/>
          <w:i/>
          <w:iCs/>
          <w:sz w:val="22"/>
          <w:szCs w:val="22"/>
          <w:lang w:val="fr-CH"/>
        </w:rPr>
        <w:t xml:space="preserve"> Intelligence</w:t>
      </w:r>
      <w:r w:rsidR="006235A5" w:rsidRPr="006235A5">
        <w:rPr>
          <w:rFonts w:ascii="Arial" w:hAnsi="Arial" w:cs="Arial"/>
          <w:sz w:val="22"/>
          <w:szCs w:val="22"/>
          <w:lang w:val="fr-CH"/>
        </w:rPr>
        <w:t xml:space="preserve">, notamment </w:t>
      </w:r>
      <w:r w:rsidR="00C20962">
        <w:rPr>
          <w:rFonts w:ascii="Arial" w:hAnsi="Arial" w:cs="Arial"/>
          <w:sz w:val="22"/>
          <w:szCs w:val="22"/>
          <w:lang w:val="fr-CH"/>
        </w:rPr>
        <w:t>afin</w:t>
      </w:r>
      <w:r w:rsidR="006235A5">
        <w:rPr>
          <w:rFonts w:ascii="Arial" w:hAnsi="Arial" w:cs="Arial"/>
          <w:sz w:val="22"/>
          <w:szCs w:val="22"/>
          <w:lang w:val="fr-CH"/>
        </w:rPr>
        <w:t xml:space="preserve"> de simplifier</w:t>
      </w:r>
      <w:r w:rsidR="006235A5" w:rsidRPr="006235A5">
        <w:rPr>
          <w:rFonts w:ascii="Arial" w:hAnsi="Arial" w:cs="Arial"/>
          <w:sz w:val="22"/>
          <w:szCs w:val="22"/>
          <w:lang w:val="fr-CH"/>
        </w:rPr>
        <w:t xml:space="preserve"> </w:t>
      </w:r>
      <w:r w:rsidR="006235A5">
        <w:rPr>
          <w:rFonts w:ascii="Arial" w:hAnsi="Arial" w:cs="Arial"/>
          <w:sz w:val="22"/>
          <w:szCs w:val="22"/>
          <w:lang w:val="fr-CH"/>
        </w:rPr>
        <w:t>l</w:t>
      </w:r>
      <w:r w:rsidR="006235A5" w:rsidRPr="006235A5">
        <w:rPr>
          <w:rFonts w:ascii="Arial" w:hAnsi="Arial" w:cs="Arial"/>
          <w:sz w:val="22"/>
          <w:szCs w:val="22"/>
          <w:lang w:val="fr-CH"/>
        </w:rPr>
        <w:t>es processus dans le transport de marchandises</w:t>
      </w:r>
      <w:r w:rsidR="006235A5">
        <w:rPr>
          <w:rFonts w:ascii="Arial" w:hAnsi="Arial" w:cs="Arial"/>
          <w:sz w:val="22"/>
          <w:szCs w:val="22"/>
          <w:lang w:val="fr-CH"/>
        </w:rPr>
        <w:t>.</w:t>
      </w:r>
    </w:p>
    <w:p w14:paraId="4FCB5AB4" w14:textId="5C439E97" w:rsidR="00207CB6" w:rsidRPr="00207CB6" w:rsidRDefault="006235A5" w:rsidP="00207CB6">
      <w:pPr>
        <w:pStyle w:val="Struktur1"/>
        <w:spacing w:line="240" w:lineRule="auto"/>
        <w:rPr>
          <w:rFonts w:ascii="Arial" w:hAnsi="Arial" w:cs="Arial"/>
          <w:sz w:val="22"/>
          <w:szCs w:val="22"/>
          <w:lang w:val="fr-CH"/>
        </w:rPr>
      </w:pPr>
      <w:r>
        <w:rPr>
          <w:rFonts w:ascii="Arial" w:hAnsi="Arial" w:cs="Arial"/>
          <w:sz w:val="22"/>
          <w:szCs w:val="22"/>
          <w:lang w:val="fr-CH"/>
        </w:rPr>
        <w:t>e</w:t>
      </w:r>
      <w:r w:rsidR="00207CB6" w:rsidRPr="00207CB6">
        <w:rPr>
          <w:rFonts w:ascii="Arial" w:hAnsi="Arial" w:cs="Arial"/>
          <w:sz w:val="22"/>
          <w:szCs w:val="22"/>
          <w:lang w:val="fr-CH"/>
        </w:rPr>
        <w:t>.</w:t>
      </w:r>
      <w:r w:rsidR="00207CB6" w:rsidRPr="00207CB6">
        <w:rPr>
          <w:rFonts w:ascii="Arial" w:hAnsi="Arial" w:cs="Arial"/>
          <w:sz w:val="22"/>
          <w:szCs w:val="22"/>
          <w:lang w:val="fr-CH"/>
        </w:rPr>
        <w:tab/>
      </w:r>
      <w:r>
        <w:rPr>
          <w:rFonts w:ascii="Arial" w:hAnsi="Arial" w:cs="Arial"/>
          <w:sz w:val="22"/>
          <w:szCs w:val="22"/>
          <w:lang w:val="fr-CH"/>
        </w:rPr>
        <w:t>L</w:t>
      </w:r>
      <w:r w:rsidR="00207CB6" w:rsidRPr="00207CB6">
        <w:rPr>
          <w:rFonts w:ascii="Arial" w:hAnsi="Arial" w:cs="Arial"/>
          <w:sz w:val="22"/>
          <w:szCs w:val="22"/>
          <w:lang w:val="fr-CH"/>
        </w:rPr>
        <w:t>’entreprise cherche activement des formes de collaboration avec d’autres GI afin de s’assurer ou d’utiliser le savoir-faire nécessaire ou de mutualiser des achats, des activités opérationnelles ou d’autres projets</w:t>
      </w:r>
      <w:r>
        <w:rPr>
          <w:rFonts w:ascii="Arial" w:hAnsi="Arial" w:cs="Arial"/>
          <w:sz w:val="22"/>
          <w:szCs w:val="22"/>
          <w:lang w:val="fr-CH"/>
        </w:rPr>
        <w:t>.</w:t>
      </w:r>
    </w:p>
    <w:p w14:paraId="476387DA" w14:textId="77B302EB" w:rsidR="00207CB6" w:rsidRDefault="006235A5" w:rsidP="00207CB6">
      <w:pPr>
        <w:pStyle w:val="Struktur1"/>
        <w:spacing w:line="240" w:lineRule="auto"/>
        <w:rPr>
          <w:rFonts w:ascii="Arial" w:hAnsi="Arial" w:cs="Arial"/>
          <w:sz w:val="22"/>
          <w:szCs w:val="22"/>
          <w:lang w:val="fr-CH"/>
        </w:rPr>
      </w:pPr>
      <w:r>
        <w:rPr>
          <w:rFonts w:ascii="Arial" w:hAnsi="Arial" w:cs="Arial"/>
          <w:sz w:val="22"/>
          <w:szCs w:val="22"/>
          <w:lang w:val="fr-CH"/>
        </w:rPr>
        <w:t>f</w:t>
      </w:r>
      <w:r w:rsidR="00207CB6" w:rsidRPr="00207CB6">
        <w:rPr>
          <w:rFonts w:ascii="Arial" w:hAnsi="Arial" w:cs="Arial"/>
          <w:sz w:val="22"/>
          <w:szCs w:val="22"/>
          <w:lang w:val="fr-CH"/>
        </w:rPr>
        <w:t>.</w:t>
      </w:r>
      <w:r w:rsidR="00207CB6" w:rsidRPr="00207CB6">
        <w:rPr>
          <w:rFonts w:ascii="Arial" w:hAnsi="Arial" w:cs="Arial"/>
          <w:sz w:val="22"/>
          <w:szCs w:val="22"/>
          <w:lang w:val="fr-CH"/>
        </w:rPr>
        <w:tab/>
      </w:r>
      <w:r>
        <w:rPr>
          <w:rFonts w:ascii="Arial" w:hAnsi="Arial" w:cs="Arial"/>
          <w:sz w:val="22"/>
          <w:szCs w:val="22"/>
          <w:lang w:val="fr-CH"/>
        </w:rPr>
        <w:t>C</w:t>
      </w:r>
      <w:r w:rsidR="00207CB6" w:rsidRPr="00207CB6">
        <w:rPr>
          <w:rFonts w:ascii="Arial" w:hAnsi="Arial" w:cs="Arial"/>
          <w:sz w:val="22"/>
          <w:szCs w:val="22"/>
          <w:lang w:val="fr-CH"/>
        </w:rPr>
        <w:t>onformément à l’art.</w:t>
      </w:r>
      <w:r>
        <w:rPr>
          <w:rFonts w:ascii="Arial" w:hAnsi="Arial" w:cs="Arial"/>
          <w:sz w:val="22"/>
          <w:szCs w:val="22"/>
          <w:lang w:val="fr-CH"/>
        </w:rPr>
        <w:t> </w:t>
      </w:r>
      <w:r w:rsidR="00207CB6" w:rsidRPr="00207CB6">
        <w:rPr>
          <w:rFonts w:ascii="Arial" w:hAnsi="Arial" w:cs="Arial"/>
          <w:sz w:val="22"/>
          <w:szCs w:val="22"/>
          <w:lang w:val="fr-CH"/>
        </w:rPr>
        <w:t>10, al.</w:t>
      </w:r>
      <w:r>
        <w:rPr>
          <w:rFonts w:ascii="Arial" w:hAnsi="Arial" w:cs="Arial"/>
          <w:sz w:val="22"/>
          <w:szCs w:val="22"/>
          <w:lang w:val="fr-CH"/>
        </w:rPr>
        <w:t> </w:t>
      </w:r>
      <w:r w:rsidR="00207CB6" w:rsidRPr="00207CB6">
        <w:rPr>
          <w:rFonts w:ascii="Arial" w:hAnsi="Arial" w:cs="Arial"/>
          <w:sz w:val="22"/>
          <w:szCs w:val="22"/>
          <w:lang w:val="fr-CH"/>
        </w:rPr>
        <w:t xml:space="preserve">3, OCF, la Confédération attend </w:t>
      </w:r>
      <w:r w:rsidR="00C20962">
        <w:rPr>
          <w:rFonts w:ascii="Arial" w:hAnsi="Arial" w:cs="Arial"/>
          <w:sz w:val="22"/>
          <w:szCs w:val="22"/>
          <w:lang w:val="fr-CH"/>
        </w:rPr>
        <w:t xml:space="preserve">de </w:t>
      </w:r>
      <w:r>
        <w:rPr>
          <w:rFonts w:ascii="Arial" w:hAnsi="Arial" w:cs="Arial"/>
          <w:sz w:val="22"/>
          <w:szCs w:val="22"/>
          <w:lang w:val="fr-CH"/>
        </w:rPr>
        <w:t>l’entreprise</w:t>
      </w:r>
      <w:r w:rsidR="00207CB6" w:rsidRPr="00207CB6">
        <w:rPr>
          <w:rFonts w:ascii="Arial" w:hAnsi="Arial" w:cs="Arial"/>
          <w:sz w:val="22"/>
          <w:szCs w:val="22"/>
          <w:lang w:val="fr-CH"/>
        </w:rPr>
        <w:t xml:space="preserve"> </w:t>
      </w:r>
      <w:r w:rsidR="00C20962">
        <w:rPr>
          <w:rFonts w:ascii="Arial" w:hAnsi="Arial" w:cs="Arial"/>
          <w:sz w:val="22"/>
          <w:szCs w:val="22"/>
          <w:lang w:val="fr-CH"/>
        </w:rPr>
        <w:t xml:space="preserve">qu’elle </w:t>
      </w:r>
      <w:r w:rsidR="00207CB6" w:rsidRPr="00207CB6">
        <w:rPr>
          <w:rFonts w:ascii="Arial" w:hAnsi="Arial" w:cs="Arial"/>
          <w:sz w:val="22"/>
          <w:szCs w:val="22"/>
          <w:lang w:val="fr-CH"/>
        </w:rPr>
        <w:t>veille à une exploitation effic</w:t>
      </w:r>
      <w:r>
        <w:rPr>
          <w:rFonts w:ascii="Arial" w:hAnsi="Arial" w:cs="Arial"/>
          <w:sz w:val="22"/>
          <w:szCs w:val="22"/>
          <w:lang w:val="fr-CH"/>
        </w:rPr>
        <w:t>iente</w:t>
      </w:r>
      <w:r w:rsidR="00207CB6" w:rsidRPr="00207CB6">
        <w:rPr>
          <w:rFonts w:ascii="Arial" w:hAnsi="Arial" w:cs="Arial"/>
          <w:sz w:val="22"/>
          <w:szCs w:val="22"/>
          <w:lang w:val="fr-CH"/>
        </w:rPr>
        <w:t xml:space="preserve"> sur le plan énergétique, notamment qu’</w:t>
      </w:r>
      <w:r>
        <w:rPr>
          <w:rFonts w:ascii="Arial" w:hAnsi="Arial" w:cs="Arial"/>
          <w:sz w:val="22"/>
          <w:szCs w:val="22"/>
          <w:lang w:val="fr-CH"/>
        </w:rPr>
        <w:t>elle</w:t>
      </w:r>
      <w:r w:rsidR="00207CB6" w:rsidRPr="00207CB6">
        <w:rPr>
          <w:rFonts w:ascii="Arial" w:hAnsi="Arial" w:cs="Arial"/>
          <w:sz w:val="22"/>
          <w:szCs w:val="22"/>
          <w:lang w:val="fr-CH"/>
        </w:rPr>
        <w:t xml:space="preserve"> réduise les pertes d’énergie de l’infrastructure, qu’</w:t>
      </w:r>
      <w:r>
        <w:rPr>
          <w:rFonts w:ascii="Arial" w:hAnsi="Arial" w:cs="Arial"/>
          <w:sz w:val="22"/>
          <w:szCs w:val="22"/>
          <w:lang w:val="fr-CH"/>
        </w:rPr>
        <w:t>elle</w:t>
      </w:r>
      <w:r w:rsidR="00207CB6" w:rsidRPr="00207CB6">
        <w:rPr>
          <w:rFonts w:ascii="Arial" w:hAnsi="Arial" w:cs="Arial"/>
          <w:sz w:val="22"/>
          <w:szCs w:val="22"/>
          <w:lang w:val="fr-CH"/>
        </w:rPr>
        <w:t xml:space="preserve"> augmente le rendement énergétique des bâtiments et qu’</w:t>
      </w:r>
      <w:r>
        <w:rPr>
          <w:rFonts w:ascii="Arial" w:hAnsi="Arial" w:cs="Arial"/>
          <w:sz w:val="22"/>
          <w:szCs w:val="22"/>
          <w:lang w:val="fr-CH"/>
        </w:rPr>
        <w:t>elle</w:t>
      </w:r>
      <w:r w:rsidR="00207CB6" w:rsidRPr="00207CB6">
        <w:rPr>
          <w:rFonts w:ascii="Arial" w:hAnsi="Arial" w:cs="Arial"/>
          <w:sz w:val="22"/>
          <w:szCs w:val="22"/>
          <w:lang w:val="fr-CH"/>
        </w:rPr>
        <w:t xml:space="preserve"> utilise des véhicules effic</w:t>
      </w:r>
      <w:r>
        <w:rPr>
          <w:rFonts w:ascii="Arial" w:hAnsi="Arial" w:cs="Arial"/>
          <w:sz w:val="22"/>
          <w:szCs w:val="22"/>
          <w:lang w:val="fr-CH"/>
        </w:rPr>
        <w:t>ients</w:t>
      </w:r>
      <w:r w:rsidR="00207CB6" w:rsidRPr="00207CB6">
        <w:rPr>
          <w:rFonts w:ascii="Arial" w:hAnsi="Arial" w:cs="Arial"/>
          <w:sz w:val="22"/>
          <w:szCs w:val="22"/>
          <w:lang w:val="fr-CH"/>
        </w:rPr>
        <w:t xml:space="preserve"> en termes d’énergie</w:t>
      </w:r>
      <w:r>
        <w:rPr>
          <w:rFonts w:ascii="Arial" w:hAnsi="Arial" w:cs="Arial"/>
          <w:sz w:val="22"/>
          <w:szCs w:val="22"/>
          <w:lang w:val="fr-CH"/>
        </w:rPr>
        <w:t> </w:t>
      </w:r>
      <w:r w:rsidR="00207CB6" w:rsidRPr="00207CB6">
        <w:rPr>
          <w:rFonts w:ascii="Arial" w:hAnsi="Arial" w:cs="Arial"/>
          <w:sz w:val="22"/>
          <w:szCs w:val="22"/>
          <w:lang w:val="fr-CH"/>
        </w:rPr>
        <w:t>; les futurs projets doivent toujours viser à améliorer le degré d’efficacité et à augmenter la part des énergies renouvelables</w:t>
      </w:r>
      <w:r w:rsidRPr="00BF5802">
        <w:rPr>
          <w:lang w:val="fr-CH"/>
        </w:rPr>
        <w:t xml:space="preserve"> </w:t>
      </w:r>
      <w:r w:rsidRPr="006235A5">
        <w:rPr>
          <w:rFonts w:ascii="Arial" w:hAnsi="Arial" w:cs="Arial"/>
          <w:sz w:val="22"/>
          <w:szCs w:val="22"/>
          <w:lang w:val="fr-CH"/>
        </w:rPr>
        <w:t>(par ex</w:t>
      </w:r>
      <w:r>
        <w:rPr>
          <w:rFonts w:ascii="Arial" w:hAnsi="Arial" w:cs="Arial"/>
          <w:sz w:val="22"/>
          <w:szCs w:val="22"/>
          <w:lang w:val="fr-CH"/>
        </w:rPr>
        <w:t>.</w:t>
      </w:r>
      <w:r w:rsidRPr="006235A5">
        <w:rPr>
          <w:rFonts w:ascii="Arial" w:hAnsi="Arial" w:cs="Arial"/>
          <w:sz w:val="22"/>
          <w:szCs w:val="22"/>
          <w:lang w:val="fr-CH"/>
        </w:rPr>
        <w:t xml:space="preserve"> en installant des panneaux photovoltaïques). Le cas échéant, l</w:t>
      </w:r>
      <w:r>
        <w:rPr>
          <w:rFonts w:ascii="Arial" w:hAnsi="Arial" w:cs="Arial"/>
          <w:sz w:val="22"/>
          <w:szCs w:val="22"/>
          <w:lang w:val="fr-CH"/>
        </w:rPr>
        <w:t>’</w:t>
      </w:r>
      <w:r w:rsidRPr="006235A5">
        <w:rPr>
          <w:rFonts w:ascii="Arial" w:hAnsi="Arial" w:cs="Arial"/>
          <w:sz w:val="22"/>
          <w:szCs w:val="22"/>
          <w:lang w:val="fr-CH"/>
        </w:rPr>
        <w:t>entreprise peut mettre ses surfaces à disposition de tiers pour la production d</w:t>
      </w:r>
      <w:r>
        <w:rPr>
          <w:rFonts w:ascii="Arial" w:hAnsi="Arial" w:cs="Arial"/>
          <w:sz w:val="22"/>
          <w:szCs w:val="22"/>
          <w:lang w:val="fr-CH"/>
        </w:rPr>
        <w:t>’</w:t>
      </w:r>
      <w:r w:rsidRPr="006235A5">
        <w:rPr>
          <w:rFonts w:ascii="Arial" w:hAnsi="Arial" w:cs="Arial"/>
          <w:sz w:val="22"/>
          <w:szCs w:val="22"/>
          <w:lang w:val="fr-CH"/>
        </w:rPr>
        <w:t>énergie renouvelable</w:t>
      </w:r>
      <w:r>
        <w:rPr>
          <w:rFonts w:ascii="Arial" w:hAnsi="Arial" w:cs="Arial"/>
          <w:sz w:val="22"/>
          <w:szCs w:val="22"/>
          <w:lang w:val="fr-CH"/>
        </w:rPr>
        <w:t>.</w:t>
      </w:r>
    </w:p>
    <w:p w14:paraId="0023BCC9" w14:textId="452AEDE9" w:rsidR="00BE312B" w:rsidRPr="00BF5802" w:rsidRDefault="006235A5" w:rsidP="00DF7EDA">
      <w:pPr>
        <w:pStyle w:val="Struktur1"/>
        <w:spacing w:line="240" w:lineRule="auto"/>
        <w:rPr>
          <w:rFonts w:ascii="Arial" w:hAnsi="Arial" w:cs="Arial"/>
          <w:sz w:val="22"/>
          <w:szCs w:val="22"/>
          <w:lang w:val="fr-CH"/>
        </w:rPr>
      </w:pPr>
      <w:r>
        <w:rPr>
          <w:rFonts w:ascii="Arial" w:hAnsi="Arial" w:cs="Arial"/>
          <w:sz w:val="22"/>
          <w:szCs w:val="22"/>
          <w:lang w:val="fr-CH"/>
        </w:rPr>
        <w:t>g.</w:t>
      </w:r>
      <w:r>
        <w:rPr>
          <w:rFonts w:ascii="Arial" w:hAnsi="Arial" w:cs="Arial"/>
          <w:sz w:val="22"/>
          <w:szCs w:val="22"/>
          <w:lang w:val="fr-CH"/>
        </w:rPr>
        <w:tab/>
      </w:r>
      <w:r w:rsidRPr="006235A5">
        <w:rPr>
          <w:rFonts w:ascii="Arial" w:hAnsi="Arial" w:cs="Arial"/>
          <w:sz w:val="22"/>
          <w:szCs w:val="22"/>
          <w:lang w:val="fr-CH"/>
        </w:rPr>
        <w:t>L</w:t>
      </w:r>
      <w:r>
        <w:rPr>
          <w:rFonts w:ascii="Arial" w:hAnsi="Arial" w:cs="Arial"/>
          <w:sz w:val="22"/>
          <w:szCs w:val="22"/>
          <w:lang w:val="fr-CH"/>
        </w:rPr>
        <w:t>’</w:t>
      </w:r>
      <w:r w:rsidRPr="006235A5">
        <w:rPr>
          <w:rFonts w:ascii="Arial" w:hAnsi="Arial" w:cs="Arial"/>
          <w:sz w:val="22"/>
          <w:szCs w:val="22"/>
          <w:lang w:val="fr-CH"/>
        </w:rPr>
        <w:t xml:space="preserve">entreprise tient compte au mieux de la stratégie climatique, de la protection contre le bruit </w:t>
      </w:r>
      <w:r w:rsidR="00C20962">
        <w:rPr>
          <w:rFonts w:ascii="Arial" w:hAnsi="Arial" w:cs="Arial"/>
          <w:sz w:val="22"/>
          <w:szCs w:val="22"/>
          <w:lang w:val="fr-CH"/>
        </w:rPr>
        <w:t>ainsi que</w:t>
      </w:r>
      <w:r w:rsidRPr="006235A5">
        <w:rPr>
          <w:rFonts w:ascii="Arial" w:hAnsi="Arial" w:cs="Arial"/>
          <w:sz w:val="22"/>
          <w:szCs w:val="22"/>
          <w:lang w:val="fr-CH"/>
        </w:rPr>
        <w:t xml:space="preserve"> de la stratégie Biodiversité Suisse et </w:t>
      </w:r>
      <w:r w:rsidR="00D74651">
        <w:rPr>
          <w:rFonts w:ascii="Arial" w:hAnsi="Arial" w:cs="Arial"/>
          <w:sz w:val="22"/>
          <w:szCs w:val="22"/>
          <w:lang w:val="fr-CH"/>
        </w:rPr>
        <w:t>prouve</w:t>
      </w:r>
      <w:r w:rsidRPr="006235A5">
        <w:rPr>
          <w:rFonts w:ascii="Arial" w:hAnsi="Arial" w:cs="Arial"/>
          <w:sz w:val="22"/>
          <w:szCs w:val="22"/>
          <w:lang w:val="fr-CH"/>
        </w:rPr>
        <w:t xml:space="preserve"> sa contribution au développement durable de l</w:t>
      </w:r>
      <w:r>
        <w:rPr>
          <w:rFonts w:ascii="Arial" w:hAnsi="Arial" w:cs="Arial"/>
          <w:sz w:val="22"/>
          <w:szCs w:val="22"/>
          <w:lang w:val="fr-CH"/>
        </w:rPr>
        <w:t>’</w:t>
      </w:r>
      <w:r w:rsidRPr="006235A5">
        <w:rPr>
          <w:rFonts w:ascii="Arial" w:hAnsi="Arial" w:cs="Arial"/>
          <w:sz w:val="22"/>
          <w:szCs w:val="22"/>
          <w:lang w:val="fr-CH"/>
        </w:rPr>
        <w:t>environnement.</w:t>
      </w:r>
    </w:p>
    <w:p w14:paraId="5A5AFD4F" w14:textId="09229F69" w:rsidR="00243EBA" w:rsidRPr="00BF5802" w:rsidRDefault="00243EBA" w:rsidP="00617E6D">
      <w:pPr>
        <w:pStyle w:val="TitelArtikelKomm"/>
        <w:spacing w:line="360" w:lineRule="auto"/>
        <w:rPr>
          <w:rFonts w:ascii="Arial" w:hAnsi="Arial" w:cs="Arial"/>
          <w:b/>
          <w:i w:val="0"/>
          <w:sz w:val="22"/>
          <w:lang w:val="fr-CH"/>
        </w:rPr>
      </w:pPr>
      <w:r w:rsidRPr="00BF5802">
        <w:rPr>
          <w:rFonts w:ascii="Arial" w:hAnsi="Arial" w:cs="Arial"/>
          <w:b/>
          <w:i w:val="0"/>
          <w:sz w:val="22"/>
          <w:lang w:val="fr-CH"/>
        </w:rPr>
        <w:t>Art.</w:t>
      </w:r>
      <w:r w:rsidR="006235A5" w:rsidRPr="00BF5802">
        <w:rPr>
          <w:rFonts w:ascii="Arial" w:hAnsi="Arial" w:cs="Arial"/>
          <w:b/>
          <w:i w:val="0"/>
          <w:sz w:val="22"/>
          <w:lang w:val="fr-CH"/>
        </w:rPr>
        <w:t> </w:t>
      </w:r>
      <w:r w:rsidRPr="00BF5802">
        <w:rPr>
          <w:rFonts w:ascii="Arial" w:hAnsi="Arial" w:cs="Arial"/>
          <w:b/>
          <w:i w:val="0"/>
          <w:sz w:val="22"/>
          <w:lang w:val="fr-CH"/>
        </w:rPr>
        <w:t>9</w:t>
      </w:r>
      <w:r w:rsidRPr="00BF5802">
        <w:rPr>
          <w:rFonts w:ascii="Arial" w:hAnsi="Arial" w:cs="Arial"/>
          <w:b/>
          <w:i w:val="0"/>
          <w:sz w:val="22"/>
          <w:lang w:val="fr-CH"/>
        </w:rPr>
        <w:tab/>
      </w:r>
      <w:r w:rsidR="008C3E26" w:rsidRPr="008C3E26">
        <w:rPr>
          <w:rFonts w:ascii="Arial" w:hAnsi="Arial" w:cs="Arial"/>
          <w:b/>
          <w:i w:val="0"/>
          <w:sz w:val="22"/>
          <w:lang w:val="fr-CH"/>
        </w:rPr>
        <w:t>Garantie de la disponibilité, de la résilience et de la qualité du réseau</w:t>
      </w:r>
    </w:p>
    <w:p w14:paraId="6495FE42" w14:textId="503952B3" w:rsidR="008C3E26" w:rsidRPr="008C3E26" w:rsidRDefault="008C3E26" w:rsidP="008C3E26">
      <w:pPr>
        <w:spacing w:before="80" w:line="240" w:lineRule="auto"/>
        <w:jc w:val="both"/>
        <w:rPr>
          <w:rFonts w:eastAsia="Times New Roman"/>
          <w:sz w:val="22"/>
          <w:lang w:val="fr-CH" w:eastAsia="de-DE"/>
        </w:rPr>
      </w:pPr>
      <w:r w:rsidRPr="008C3E26">
        <w:rPr>
          <w:rFonts w:eastAsia="Times New Roman"/>
          <w:sz w:val="22"/>
          <w:lang w:val="fr-CH" w:eastAsia="de-DE"/>
        </w:rPr>
        <w:t xml:space="preserve">Tout en maintenant la rentabilité, l’entreprise garantit, de la manière indiquée ci-après, une grande capacité, disponibilité, résilience </w:t>
      </w:r>
      <w:r w:rsidR="00CF42E1">
        <w:rPr>
          <w:rFonts w:eastAsia="Times New Roman"/>
          <w:sz w:val="22"/>
          <w:lang w:val="fr-CH" w:eastAsia="de-DE"/>
        </w:rPr>
        <w:t xml:space="preserve">(y c. exploitation stable du réseau et cybersécurité) </w:t>
      </w:r>
      <w:r w:rsidRPr="008C3E26">
        <w:rPr>
          <w:rFonts w:eastAsia="Times New Roman"/>
          <w:sz w:val="22"/>
          <w:lang w:val="fr-CH" w:eastAsia="de-DE"/>
        </w:rPr>
        <w:t>et qualité du réseau et des installations de sorte que l’utilisation de l’ensemble du réseau ferré suisse puisse être optimisée</w:t>
      </w:r>
      <w:r w:rsidR="00CF42E1">
        <w:rPr>
          <w:rFonts w:eastAsia="Times New Roman"/>
          <w:sz w:val="22"/>
          <w:lang w:val="fr-CH" w:eastAsia="de-DE"/>
        </w:rPr>
        <w:t> </w:t>
      </w:r>
      <w:r w:rsidRPr="008C3E26">
        <w:rPr>
          <w:rFonts w:eastAsia="Times New Roman"/>
          <w:sz w:val="22"/>
          <w:lang w:val="fr-CH" w:eastAsia="de-DE"/>
        </w:rPr>
        <w:t>:</w:t>
      </w:r>
    </w:p>
    <w:p w14:paraId="6948162C" w14:textId="55B5D1AC" w:rsidR="008C3E26" w:rsidRPr="008C3E26" w:rsidRDefault="008C3E26" w:rsidP="008C3E26">
      <w:pPr>
        <w:tabs>
          <w:tab w:val="left" w:pos="567"/>
        </w:tabs>
        <w:spacing w:before="80" w:line="240" w:lineRule="auto"/>
        <w:ind w:left="567" w:hanging="357"/>
        <w:jc w:val="both"/>
        <w:rPr>
          <w:rFonts w:eastAsia="Times New Roman"/>
          <w:sz w:val="22"/>
          <w:lang w:val="fr-CH" w:eastAsia="de-DE"/>
        </w:rPr>
      </w:pPr>
      <w:r w:rsidRPr="008C3E26">
        <w:rPr>
          <w:rFonts w:eastAsia="Times New Roman"/>
          <w:sz w:val="22"/>
          <w:lang w:val="fr-CH" w:eastAsia="de-DE"/>
        </w:rPr>
        <w:t>a.</w:t>
      </w:r>
      <w:r w:rsidRPr="008C3E26">
        <w:rPr>
          <w:rFonts w:eastAsia="Times New Roman"/>
          <w:sz w:val="22"/>
          <w:lang w:val="fr-CH" w:eastAsia="de-DE"/>
        </w:rPr>
        <w:tab/>
      </w:r>
      <w:r w:rsidR="00CF42E1">
        <w:rPr>
          <w:rFonts w:eastAsia="Times New Roman"/>
          <w:sz w:val="22"/>
          <w:lang w:val="fr-CH" w:eastAsia="de-DE"/>
        </w:rPr>
        <w:t>L</w:t>
      </w:r>
      <w:r w:rsidRPr="008C3E26">
        <w:rPr>
          <w:rFonts w:eastAsia="Times New Roman"/>
          <w:sz w:val="22"/>
          <w:lang w:val="fr-CH" w:eastAsia="de-DE"/>
        </w:rPr>
        <w:t>’entreprise veille au respect et à l’amélioration de l’interopérabilité conformément aux exigences valables pour son infrastructure</w:t>
      </w:r>
      <w:r w:rsidR="00CF42E1">
        <w:rPr>
          <w:rFonts w:eastAsia="Times New Roman"/>
          <w:sz w:val="22"/>
          <w:lang w:val="fr-CH" w:eastAsia="de-DE"/>
        </w:rPr>
        <w:t> </w:t>
      </w:r>
      <w:r w:rsidRPr="008C3E26">
        <w:rPr>
          <w:rFonts w:eastAsia="Times New Roman"/>
          <w:sz w:val="22"/>
          <w:lang w:val="fr-CH" w:eastAsia="de-DE"/>
        </w:rPr>
        <w:t>; dans le cadre de ses programmes de renouvellement et d’aménagement, elle encourage l’interopérabilité avec les infrastructures d’autres GI en Suisse et à l’étranger et crée des conditions de transition optimales</w:t>
      </w:r>
      <w:r w:rsidR="00CF42E1">
        <w:rPr>
          <w:rFonts w:eastAsia="Times New Roman"/>
          <w:sz w:val="22"/>
          <w:lang w:val="fr-CH" w:eastAsia="de-DE"/>
        </w:rPr>
        <w:t>.</w:t>
      </w:r>
    </w:p>
    <w:p w14:paraId="0D877AEB" w14:textId="1AF5CEBA" w:rsidR="008C3E26" w:rsidRPr="008C3E26" w:rsidRDefault="008C3E26" w:rsidP="008C3E26">
      <w:pPr>
        <w:tabs>
          <w:tab w:val="left" w:pos="567"/>
        </w:tabs>
        <w:spacing w:before="80" w:line="240" w:lineRule="auto"/>
        <w:ind w:left="567" w:hanging="357"/>
        <w:jc w:val="both"/>
        <w:rPr>
          <w:rFonts w:eastAsia="Times New Roman"/>
          <w:sz w:val="22"/>
          <w:lang w:val="fr-CH" w:eastAsia="de-DE"/>
        </w:rPr>
      </w:pPr>
      <w:r w:rsidRPr="008C3E26">
        <w:rPr>
          <w:rFonts w:eastAsia="Times New Roman"/>
          <w:sz w:val="22"/>
          <w:lang w:val="fr-CH" w:eastAsia="de-DE"/>
        </w:rPr>
        <w:t>b.</w:t>
      </w:r>
      <w:r w:rsidRPr="008C3E26">
        <w:rPr>
          <w:rFonts w:eastAsia="Times New Roman"/>
          <w:sz w:val="22"/>
          <w:lang w:val="fr-CH" w:eastAsia="de-DE"/>
        </w:rPr>
        <w:tab/>
      </w:r>
      <w:r w:rsidR="00CF42E1">
        <w:rPr>
          <w:rFonts w:eastAsia="Times New Roman"/>
          <w:sz w:val="22"/>
          <w:lang w:val="fr-CH" w:eastAsia="de-DE"/>
        </w:rPr>
        <w:t>L</w:t>
      </w:r>
      <w:r w:rsidRPr="008C3E26">
        <w:rPr>
          <w:rFonts w:eastAsia="Times New Roman"/>
          <w:sz w:val="22"/>
          <w:lang w:val="fr-CH" w:eastAsia="de-DE"/>
        </w:rPr>
        <w:t>’entreprise garantit une grande disponibilité des installations</w:t>
      </w:r>
      <w:r w:rsidR="00CF42E1">
        <w:rPr>
          <w:rFonts w:eastAsia="Times New Roman"/>
          <w:sz w:val="22"/>
          <w:lang w:val="fr-CH" w:eastAsia="de-DE"/>
        </w:rPr>
        <w:t>, la protection des infrastructures critiques</w:t>
      </w:r>
      <w:r w:rsidRPr="008C3E26">
        <w:rPr>
          <w:rFonts w:eastAsia="Times New Roman"/>
          <w:sz w:val="22"/>
          <w:lang w:val="fr-CH" w:eastAsia="de-DE"/>
        </w:rPr>
        <w:t xml:space="preserve"> et un trafic aussi stable que possible en tenant compte de la productivité et de l’efficience dans l’exploitation et dans </w:t>
      </w:r>
      <w:r w:rsidR="00377436">
        <w:rPr>
          <w:rFonts w:eastAsia="Times New Roman"/>
          <w:sz w:val="22"/>
          <w:lang w:val="fr-CH" w:eastAsia="de-DE"/>
        </w:rPr>
        <w:t>la maintenance</w:t>
      </w:r>
      <w:r w:rsidR="00CF42E1">
        <w:rPr>
          <w:rFonts w:eastAsia="Times New Roman"/>
          <w:sz w:val="22"/>
          <w:lang w:val="fr-CH" w:eastAsia="de-DE"/>
        </w:rPr>
        <w:t>.</w:t>
      </w:r>
    </w:p>
    <w:p w14:paraId="21833030" w14:textId="5A98FDFF" w:rsidR="008C3E26" w:rsidRPr="008C3E26" w:rsidRDefault="008C3E26" w:rsidP="008C3E26">
      <w:pPr>
        <w:tabs>
          <w:tab w:val="left" w:pos="567"/>
        </w:tabs>
        <w:spacing w:before="80" w:line="240" w:lineRule="auto"/>
        <w:ind w:left="567" w:hanging="357"/>
        <w:jc w:val="both"/>
        <w:rPr>
          <w:rFonts w:eastAsia="Times New Roman"/>
          <w:sz w:val="22"/>
          <w:lang w:val="fr-CH" w:eastAsia="de-DE"/>
        </w:rPr>
      </w:pPr>
      <w:r w:rsidRPr="008C3E26">
        <w:rPr>
          <w:rFonts w:eastAsia="Times New Roman"/>
          <w:sz w:val="22"/>
          <w:lang w:val="fr-CH" w:eastAsia="de-DE"/>
        </w:rPr>
        <w:t>c.</w:t>
      </w:r>
      <w:r w:rsidRPr="008C3E26">
        <w:rPr>
          <w:rFonts w:eastAsia="Times New Roman"/>
          <w:sz w:val="22"/>
          <w:lang w:val="fr-CH" w:eastAsia="de-DE"/>
        </w:rPr>
        <w:tab/>
      </w:r>
      <w:r w:rsidR="00CF42E1">
        <w:rPr>
          <w:rFonts w:eastAsia="Times New Roman"/>
          <w:sz w:val="22"/>
          <w:lang w:val="fr-CH" w:eastAsia="de-DE"/>
        </w:rPr>
        <w:t>L</w:t>
      </w:r>
      <w:r w:rsidRPr="008C3E26">
        <w:rPr>
          <w:rFonts w:eastAsia="Times New Roman"/>
          <w:sz w:val="22"/>
          <w:lang w:val="fr-CH" w:eastAsia="de-DE"/>
        </w:rPr>
        <w:t>a priorité de la gestion du trafic porte sur l’optimisation de</w:t>
      </w:r>
      <w:r w:rsidR="00CF42E1">
        <w:rPr>
          <w:rFonts w:eastAsia="Times New Roman"/>
          <w:sz w:val="22"/>
          <w:lang w:val="fr-CH" w:eastAsia="de-DE"/>
        </w:rPr>
        <w:t>s</w:t>
      </w:r>
      <w:r w:rsidRPr="008C3E26">
        <w:rPr>
          <w:rFonts w:eastAsia="Times New Roman"/>
          <w:sz w:val="22"/>
          <w:lang w:val="fr-CH" w:eastAsia="de-DE"/>
        </w:rPr>
        <w:t xml:space="preserve"> chaîne</w:t>
      </w:r>
      <w:r w:rsidR="00CF42E1">
        <w:rPr>
          <w:rFonts w:eastAsia="Times New Roman"/>
          <w:sz w:val="22"/>
          <w:lang w:val="fr-CH" w:eastAsia="de-DE"/>
        </w:rPr>
        <w:t>s</w:t>
      </w:r>
      <w:r w:rsidRPr="008C3E26">
        <w:rPr>
          <w:rFonts w:eastAsia="Times New Roman"/>
          <w:sz w:val="22"/>
          <w:lang w:val="fr-CH" w:eastAsia="de-DE"/>
        </w:rPr>
        <w:t xml:space="preserve"> de transport</w:t>
      </w:r>
      <w:r w:rsidR="00CF42E1">
        <w:rPr>
          <w:rFonts w:eastAsia="Times New Roman"/>
          <w:sz w:val="22"/>
          <w:lang w:val="fr-CH" w:eastAsia="de-DE"/>
        </w:rPr>
        <w:t> </w:t>
      </w:r>
      <w:r w:rsidRPr="008C3E26">
        <w:rPr>
          <w:rFonts w:eastAsia="Times New Roman"/>
          <w:sz w:val="22"/>
          <w:lang w:val="fr-CH" w:eastAsia="de-DE"/>
        </w:rPr>
        <w:t>; lors de perturbations, le bon fonctionnement de l’exploitation prime la ponctualité des différents trains</w:t>
      </w:r>
      <w:r w:rsidR="00CF42E1">
        <w:rPr>
          <w:rFonts w:eastAsia="Times New Roman"/>
          <w:sz w:val="22"/>
          <w:lang w:val="fr-CH" w:eastAsia="de-DE"/>
        </w:rPr>
        <w:t>.</w:t>
      </w:r>
    </w:p>
    <w:p w14:paraId="40DC585C" w14:textId="0D21A577" w:rsidR="008C3E26" w:rsidRPr="008C3E26" w:rsidRDefault="008C3E26" w:rsidP="008C3E26">
      <w:pPr>
        <w:tabs>
          <w:tab w:val="left" w:pos="567"/>
        </w:tabs>
        <w:spacing w:before="80" w:line="240" w:lineRule="auto"/>
        <w:ind w:left="567" w:hanging="357"/>
        <w:jc w:val="both"/>
        <w:rPr>
          <w:rFonts w:eastAsia="Times New Roman"/>
          <w:sz w:val="22"/>
          <w:lang w:val="fr-CH" w:eastAsia="de-DE"/>
        </w:rPr>
      </w:pPr>
      <w:r w:rsidRPr="008C3E26">
        <w:rPr>
          <w:rFonts w:eastAsia="Times New Roman"/>
          <w:sz w:val="22"/>
          <w:lang w:val="fr-CH" w:eastAsia="de-DE"/>
        </w:rPr>
        <w:t>d.</w:t>
      </w:r>
      <w:r w:rsidRPr="008C3E26">
        <w:rPr>
          <w:rFonts w:eastAsia="Times New Roman"/>
          <w:sz w:val="22"/>
          <w:lang w:val="fr-CH" w:eastAsia="de-DE"/>
        </w:rPr>
        <w:tab/>
      </w:r>
      <w:r w:rsidR="008B1505">
        <w:rPr>
          <w:rFonts w:eastAsia="Times New Roman"/>
          <w:sz w:val="22"/>
          <w:lang w:val="fr-CH" w:eastAsia="de-DE"/>
        </w:rPr>
        <w:t>Les</w:t>
      </w:r>
      <w:r w:rsidRPr="008C3E26">
        <w:rPr>
          <w:rFonts w:eastAsia="Times New Roman"/>
          <w:sz w:val="22"/>
          <w:lang w:val="fr-CH" w:eastAsia="de-DE"/>
        </w:rPr>
        <w:t xml:space="preserve"> adaptations architecturales de l’infrastructure </w:t>
      </w:r>
      <w:r w:rsidR="008B1505">
        <w:rPr>
          <w:rFonts w:eastAsia="Times New Roman"/>
          <w:sz w:val="22"/>
          <w:lang w:val="fr-CH" w:eastAsia="de-DE"/>
        </w:rPr>
        <w:t xml:space="preserve">en vue de la </w:t>
      </w:r>
      <w:r w:rsidR="008B1505" w:rsidRPr="008B1505">
        <w:rPr>
          <w:rFonts w:eastAsia="Times New Roman"/>
          <w:sz w:val="22"/>
          <w:lang w:val="fr-CH" w:eastAsia="de-DE"/>
        </w:rPr>
        <w:t xml:space="preserve">mise en œuvre de la </w:t>
      </w:r>
      <w:proofErr w:type="spellStart"/>
      <w:r w:rsidR="008B1505" w:rsidRPr="008B1505">
        <w:rPr>
          <w:rFonts w:eastAsia="Times New Roman"/>
          <w:sz w:val="22"/>
          <w:lang w:val="fr-CH" w:eastAsia="de-DE"/>
        </w:rPr>
        <w:t>LHand</w:t>
      </w:r>
      <w:proofErr w:type="spellEnd"/>
      <w:r w:rsidR="008B1505" w:rsidRPr="008B1505">
        <w:rPr>
          <w:rFonts w:eastAsia="Times New Roman"/>
          <w:sz w:val="22"/>
          <w:lang w:val="fr-CH" w:eastAsia="de-DE"/>
        </w:rPr>
        <w:t xml:space="preserve"> </w:t>
      </w:r>
      <w:r w:rsidR="008B1505">
        <w:rPr>
          <w:rFonts w:eastAsia="Times New Roman"/>
          <w:sz w:val="22"/>
          <w:lang w:val="fr-CH" w:eastAsia="de-DE"/>
        </w:rPr>
        <w:t>sont réalisées comme prévu</w:t>
      </w:r>
      <w:r w:rsidRPr="008C3E26">
        <w:rPr>
          <w:rFonts w:eastAsia="Times New Roman"/>
          <w:sz w:val="22"/>
          <w:lang w:val="fr-CH" w:eastAsia="de-DE"/>
        </w:rPr>
        <w:t xml:space="preserve"> en </w:t>
      </w:r>
      <w:r w:rsidR="00FF53BB">
        <w:rPr>
          <w:rFonts w:eastAsia="Times New Roman"/>
          <w:sz w:val="22"/>
          <w:lang w:val="fr-CH" w:eastAsia="de-DE"/>
        </w:rPr>
        <w:t>appliquant</w:t>
      </w:r>
      <w:r w:rsidRPr="008C3E26">
        <w:rPr>
          <w:rFonts w:eastAsia="Times New Roman"/>
          <w:sz w:val="22"/>
          <w:lang w:val="fr-CH" w:eastAsia="de-DE"/>
        </w:rPr>
        <w:t xml:space="preserve"> l’instruction de planification </w:t>
      </w:r>
      <w:proofErr w:type="spellStart"/>
      <w:r w:rsidRPr="008C3E26">
        <w:rPr>
          <w:rFonts w:eastAsia="Times New Roman"/>
          <w:sz w:val="22"/>
          <w:lang w:val="fr-CH" w:eastAsia="de-DE"/>
        </w:rPr>
        <w:t>LHand</w:t>
      </w:r>
      <w:proofErr w:type="spellEnd"/>
      <w:r w:rsidRPr="008C3E26">
        <w:rPr>
          <w:rFonts w:eastAsia="Times New Roman"/>
          <w:sz w:val="22"/>
          <w:lang w:val="fr-CH" w:eastAsia="de-DE"/>
        </w:rPr>
        <w:t xml:space="preserve"> de l’</w:t>
      </w:r>
      <w:proofErr w:type="spellStart"/>
      <w:r w:rsidRPr="008C3E26">
        <w:rPr>
          <w:rFonts w:eastAsia="Times New Roman"/>
          <w:sz w:val="22"/>
          <w:lang w:val="fr-CH" w:eastAsia="de-DE"/>
        </w:rPr>
        <w:t>OFT</w:t>
      </w:r>
      <w:proofErr w:type="spellEnd"/>
      <w:r w:rsidRPr="008C3E26">
        <w:rPr>
          <w:rFonts w:eastAsia="Times New Roman"/>
          <w:sz w:val="22"/>
          <w:lang w:val="fr-CH" w:eastAsia="de-DE"/>
        </w:rPr>
        <w:t xml:space="preserve"> et en respectant le principe de la proportionnalité</w:t>
      </w:r>
      <w:r w:rsidR="008B1505">
        <w:rPr>
          <w:rFonts w:eastAsia="Times New Roman"/>
          <w:sz w:val="22"/>
          <w:lang w:val="fr-CH" w:eastAsia="de-DE"/>
        </w:rPr>
        <w:t xml:space="preserve">. </w:t>
      </w:r>
      <w:r w:rsidR="008B1505" w:rsidRPr="008B1505">
        <w:rPr>
          <w:rFonts w:eastAsia="Times New Roman"/>
          <w:sz w:val="22"/>
          <w:lang w:val="fr-CH" w:eastAsia="de-DE"/>
        </w:rPr>
        <w:t xml:space="preserve">Pour les gares et les arrêts </w:t>
      </w:r>
      <w:r w:rsidR="008B1505">
        <w:rPr>
          <w:rFonts w:eastAsia="Times New Roman"/>
          <w:sz w:val="22"/>
          <w:lang w:val="fr-CH" w:eastAsia="de-DE"/>
        </w:rPr>
        <w:t>où</w:t>
      </w:r>
      <w:r w:rsidR="008B1505" w:rsidRPr="008B1505">
        <w:rPr>
          <w:rFonts w:eastAsia="Times New Roman"/>
          <w:sz w:val="22"/>
          <w:lang w:val="fr-CH" w:eastAsia="de-DE"/>
        </w:rPr>
        <w:t xml:space="preserve"> une transformation </w:t>
      </w:r>
      <w:r w:rsidR="00FF53BB">
        <w:rPr>
          <w:rFonts w:eastAsia="Times New Roman"/>
          <w:sz w:val="22"/>
          <w:lang w:val="fr-CH" w:eastAsia="de-DE"/>
        </w:rPr>
        <w:t xml:space="preserve">respectant ce principe </w:t>
      </w:r>
      <w:r w:rsidR="008B1505" w:rsidRPr="008B1505">
        <w:rPr>
          <w:rFonts w:eastAsia="Times New Roman"/>
          <w:sz w:val="22"/>
          <w:lang w:val="fr-CH" w:eastAsia="de-DE"/>
        </w:rPr>
        <w:t>n</w:t>
      </w:r>
      <w:r w:rsidR="008B1505">
        <w:rPr>
          <w:rFonts w:eastAsia="Times New Roman"/>
          <w:sz w:val="22"/>
          <w:lang w:val="fr-CH" w:eastAsia="de-DE"/>
        </w:rPr>
        <w:t>’</w:t>
      </w:r>
      <w:r w:rsidR="008B1505" w:rsidRPr="008B1505">
        <w:rPr>
          <w:rFonts w:eastAsia="Times New Roman"/>
          <w:sz w:val="22"/>
          <w:lang w:val="fr-CH" w:eastAsia="de-DE"/>
        </w:rPr>
        <w:t xml:space="preserve">est pas possible, </w:t>
      </w:r>
      <w:r w:rsidR="008B1505">
        <w:rPr>
          <w:rFonts w:eastAsia="Times New Roman"/>
          <w:sz w:val="22"/>
          <w:lang w:val="fr-CH" w:eastAsia="de-DE"/>
        </w:rPr>
        <w:t xml:space="preserve">il convient de définir et de publier </w:t>
      </w:r>
      <w:r w:rsidR="008B1505" w:rsidRPr="008B1505">
        <w:rPr>
          <w:rFonts w:eastAsia="Times New Roman"/>
          <w:sz w:val="22"/>
          <w:lang w:val="fr-CH" w:eastAsia="de-DE"/>
        </w:rPr>
        <w:t xml:space="preserve">des </w:t>
      </w:r>
      <w:r w:rsidR="006866A1">
        <w:rPr>
          <w:rFonts w:eastAsia="Times New Roman"/>
          <w:sz w:val="22"/>
          <w:lang w:val="fr-CH" w:eastAsia="de-DE"/>
        </w:rPr>
        <w:t>solutions</w:t>
      </w:r>
      <w:r w:rsidR="008B1505" w:rsidRPr="008B1505">
        <w:rPr>
          <w:rFonts w:eastAsia="Times New Roman"/>
          <w:sz w:val="22"/>
          <w:lang w:val="fr-CH" w:eastAsia="de-DE"/>
        </w:rPr>
        <w:t xml:space="preserve"> de remplacement. Pour les gares</w:t>
      </w:r>
      <w:r w:rsidR="008B1505">
        <w:rPr>
          <w:rFonts w:eastAsia="Times New Roman"/>
          <w:sz w:val="22"/>
          <w:lang w:val="fr-CH" w:eastAsia="de-DE"/>
        </w:rPr>
        <w:t xml:space="preserve">, où il n’a pas été possible de respecter </w:t>
      </w:r>
      <w:r w:rsidR="008B1505" w:rsidRPr="008B1505">
        <w:rPr>
          <w:rFonts w:eastAsia="Times New Roman"/>
          <w:sz w:val="22"/>
          <w:lang w:val="fr-CH" w:eastAsia="de-DE"/>
        </w:rPr>
        <w:t>le délai légal d</w:t>
      </w:r>
      <w:r w:rsidR="008B1505">
        <w:rPr>
          <w:rFonts w:eastAsia="Times New Roman"/>
          <w:sz w:val="22"/>
          <w:lang w:val="fr-CH" w:eastAsia="de-DE"/>
        </w:rPr>
        <w:t>’</w:t>
      </w:r>
      <w:r w:rsidR="008B1505" w:rsidRPr="008B1505">
        <w:rPr>
          <w:rFonts w:eastAsia="Times New Roman"/>
          <w:sz w:val="22"/>
          <w:lang w:val="fr-CH" w:eastAsia="de-DE"/>
        </w:rPr>
        <w:t>adaptation (21</w:t>
      </w:r>
      <w:r w:rsidR="008B1505">
        <w:rPr>
          <w:rFonts w:eastAsia="Times New Roman"/>
          <w:sz w:val="22"/>
          <w:lang w:val="fr-CH" w:eastAsia="de-DE"/>
        </w:rPr>
        <w:t> décembre </w:t>
      </w:r>
      <w:r w:rsidR="008B1505" w:rsidRPr="008B1505">
        <w:rPr>
          <w:rFonts w:eastAsia="Times New Roman"/>
          <w:sz w:val="22"/>
          <w:lang w:val="fr-CH" w:eastAsia="de-DE"/>
        </w:rPr>
        <w:t xml:space="preserve">2023), mais </w:t>
      </w:r>
      <w:r w:rsidR="008B1505">
        <w:rPr>
          <w:rFonts w:eastAsia="Times New Roman"/>
          <w:sz w:val="22"/>
          <w:lang w:val="fr-CH" w:eastAsia="de-DE"/>
        </w:rPr>
        <w:t>où</w:t>
      </w:r>
      <w:r w:rsidR="008B1505" w:rsidRPr="008B1505">
        <w:rPr>
          <w:rFonts w:eastAsia="Times New Roman"/>
          <w:sz w:val="22"/>
          <w:lang w:val="fr-CH" w:eastAsia="de-DE"/>
        </w:rPr>
        <w:t xml:space="preserve"> une transformation </w:t>
      </w:r>
      <w:r w:rsidR="00FF53BB">
        <w:rPr>
          <w:rFonts w:eastAsia="Times New Roman"/>
          <w:sz w:val="22"/>
          <w:lang w:val="fr-CH" w:eastAsia="de-DE"/>
        </w:rPr>
        <w:t>est</w:t>
      </w:r>
      <w:r w:rsidR="008B1505" w:rsidRPr="008B1505">
        <w:rPr>
          <w:rFonts w:eastAsia="Times New Roman"/>
          <w:sz w:val="22"/>
          <w:lang w:val="fr-CH" w:eastAsia="de-DE"/>
        </w:rPr>
        <w:t xml:space="preserve"> proportionnée, </w:t>
      </w:r>
      <w:r w:rsidR="008B1505">
        <w:rPr>
          <w:rFonts w:eastAsia="Times New Roman"/>
          <w:sz w:val="22"/>
          <w:lang w:val="fr-CH" w:eastAsia="de-DE"/>
        </w:rPr>
        <w:t xml:space="preserve">il convient de définir et de publier </w:t>
      </w:r>
      <w:r w:rsidR="008B1505" w:rsidRPr="008B1505">
        <w:rPr>
          <w:rFonts w:eastAsia="Times New Roman"/>
          <w:sz w:val="22"/>
          <w:lang w:val="fr-CH" w:eastAsia="de-DE"/>
        </w:rPr>
        <w:t>des mesures de transition.</w:t>
      </w:r>
    </w:p>
    <w:p w14:paraId="6036A0BB" w14:textId="6CEFBFC9" w:rsidR="008C3E26" w:rsidRPr="008C3E26" w:rsidRDefault="008C3E26" w:rsidP="008C3E26">
      <w:pPr>
        <w:tabs>
          <w:tab w:val="left" w:pos="567"/>
        </w:tabs>
        <w:spacing w:before="80" w:line="240" w:lineRule="auto"/>
        <w:ind w:left="567" w:hanging="357"/>
        <w:jc w:val="both"/>
        <w:rPr>
          <w:rFonts w:eastAsia="Times New Roman"/>
          <w:sz w:val="22"/>
          <w:lang w:val="fr-CH" w:eastAsia="de-DE"/>
        </w:rPr>
      </w:pPr>
      <w:r w:rsidRPr="008C3E26">
        <w:rPr>
          <w:rFonts w:eastAsia="Times New Roman"/>
          <w:sz w:val="22"/>
          <w:lang w:val="fr-CH" w:eastAsia="de-DE"/>
        </w:rPr>
        <w:t>e.</w:t>
      </w:r>
      <w:r w:rsidRPr="008C3E26">
        <w:rPr>
          <w:rFonts w:eastAsia="Times New Roman"/>
          <w:sz w:val="22"/>
          <w:lang w:val="fr-CH" w:eastAsia="de-DE"/>
        </w:rPr>
        <w:tab/>
      </w:r>
      <w:r w:rsidR="008B1505">
        <w:rPr>
          <w:rFonts w:eastAsia="Times New Roman"/>
          <w:sz w:val="22"/>
          <w:lang w:val="fr-CH" w:eastAsia="de-DE"/>
        </w:rPr>
        <w:t>L</w:t>
      </w:r>
      <w:r w:rsidRPr="008C3E26">
        <w:rPr>
          <w:rFonts w:eastAsia="Times New Roman"/>
          <w:sz w:val="22"/>
          <w:lang w:val="fr-CH" w:eastAsia="de-DE"/>
        </w:rPr>
        <w:t>es installations d’accès au chemin de fer présentent une qualité adéquate</w:t>
      </w:r>
      <w:r w:rsidR="008B1505">
        <w:rPr>
          <w:rFonts w:eastAsia="Times New Roman"/>
          <w:sz w:val="22"/>
          <w:lang w:val="fr-CH" w:eastAsia="de-DE"/>
        </w:rPr>
        <w:t>.</w:t>
      </w:r>
    </w:p>
    <w:p w14:paraId="2AC10193" w14:textId="2C1D61E7" w:rsidR="008C3E26" w:rsidRPr="008C3E26" w:rsidRDefault="008C3E26" w:rsidP="008C3E26">
      <w:pPr>
        <w:tabs>
          <w:tab w:val="left" w:pos="567"/>
        </w:tabs>
        <w:spacing w:before="80" w:line="240" w:lineRule="auto"/>
        <w:ind w:left="567" w:hanging="357"/>
        <w:jc w:val="both"/>
        <w:rPr>
          <w:rFonts w:eastAsia="Times New Roman"/>
          <w:sz w:val="22"/>
          <w:lang w:val="fr-CH" w:eastAsia="de-DE"/>
        </w:rPr>
      </w:pPr>
      <w:r w:rsidRPr="008C3E26">
        <w:rPr>
          <w:rFonts w:eastAsia="Times New Roman"/>
          <w:sz w:val="22"/>
          <w:lang w:val="fr-CH" w:eastAsia="de-DE"/>
        </w:rPr>
        <w:t>f.</w:t>
      </w:r>
      <w:r w:rsidRPr="008C3E26">
        <w:rPr>
          <w:rFonts w:eastAsia="Times New Roman"/>
          <w:sz w:val="22"/>
          <w:lang w:val="fr-CH" w:eastAsia="de-DE"/>
        </w:rPr>
        <w:tab/>
      </w:r>
      <w:r w:rsidR="008B1505">
        <w:rPr>
          <w:rFonts w:eastAsia="Times New Roman"/>
          <w:sz w:val="22"/>
          <w:lang w:val="fr-CH" w:eastAsia="de-DE"/>
        </w:rPr>
        <w:t>L</w:t>
      </w:r>
      <w:r w:rsidRPr="008C3E26">
        <w:rPr>
          <w:rFonts w:eastAsia="Times New Roman"/>
          <w:sz w:val="22"/>
          <w:lang w:val="fr-CH" w:eastAsia="de-DE"/>
        </w:rPr>
        <w:t xml:space="preserve">es ETF </w:t>
      </w:r>
      <w:r w:rsidR="008D55D5">
        <w:rPr>
          <w:rFonts w:eastAsia="Times New Roman"/>
          <w:sz w:val="22"/>
          <w:lang w:val="fr-CH" w:eastAsia="de-DE"/>
        </w:rPr>
        <w:t>utilisant</w:t>
      </w:r>
      <w:r w:rsidRPr="008C3E26">
        <w:rPr>
          <w:rFonts w:eastAsia="Times New Roman"/>
          <w:sz w:val="22"/>
          <w:lang w:val="fr-CH" w:eastAsia="de-DE"/>
        </w:rPr>
        <w:t xml:space="preserve"> régulièrement le réseau de l’entreprise</w:t>
      </w:r>
      <w:r w:rsidR="008D55D5">
        <w:rPr>
          <w:rFonts w:eastAsia="Times New Roman"/>
          <w:sz w:val="22"/>
          <w:lang w:val="fr-CH" w:eastAsia="de-DE"/>
        </w:rPr>
        <w:t>,</w:t>
      </w:r>
      <w:r w:rsidRPr="008C3E26">
        <w:rPr>
          <w:rFonts w:eastAsia="Times New Roman"/>
          <w:sz w:val="22"/>
          <w:lang w:val="fr-CH" w:eastAsia="de-DE"/>
        </w:rPr>
        <w:t xml:space="preserve"> les commanditaires du </w:t>
      </w:r>
      <w:r w:rsidR="008B1505">
        <w:rPr>
          <w:rFonts w:eastAsia="Times New Roman"/>
          <w:sz w:val="22"/>
          <w:lang w:val="fr-CH" w:eastAsia="de-DE"/>
        </w:rPr>
        <w:t>transport de</w:t>
      </w:r>
      <w:r w:rsidRPr="008C3E26">
        <w:rPr>
          <w:rFonts w:eastAsia="Times New Roman"/>
          <w:sz w:val="22"/>
          <w:lang w:val="fr-CH" w:eastAsia="de-DE"/>
        </w:rPr>
        <w:t xml:space="preserve"> voyageurs concessionnaire et la branche du </w:t>
      </w:r>
      <w:r w:rsidR="008B1505">
        <w:rPr>
          <w:rFonts w:eastAsia="Times New Roman"/>
          <w:sz w:val="22"/>
          <w:lang w:val="fr-CH" w:eastAsia="de-DE"/>
        </w:rPr>
        <w:t>transport de</w:t>
      </w:r>
      <w:r w:rsidRPr="008C3E26">
        <w:rPr>
          <w:rFonts w:eastAsia="Times New Roman"/>
          <w:sz w:val="22"/>
          <w:lang w:val="fr-CH" w:eastAsia="de-DE"/>
        </w:rPr>
        <w:t xml:space="preserve"> marchandise</w:t>
      </w:r>
      <w:r w:rsidR="008B1505">
        <w:rPr>
          <w:rFonts w:eastAsia="Times New Roman"/>
          <w:sz w:val="22"/>
          <w:lang w:val="fr-CH" w:eastAsia="de-DE"/>
        </w:rPr>
        <w:t>s</w:t>
      </w:r>
      <w:r w:rsidRPr="008C3E26">
        <w:rPr>
          <w:rFonts w:eastAsia="Times New Roman"/>
          <w:sz w:val="22"/>
          <w:lang w:val="fr-CH" w:eastAsia="de-DE"/>
        </w:rPr>
        <w:t xml:space="preserve"> sont impliqués sans discrimination dans les processus de planification relatifs au dimensionnement des installations</w:t>
      </w:r>
      <w:r w:rsidR="008B1505">
        <w:rPr>
          <w:rFonts w:eastAsia="Times New Roman"/>
          <w:sz w:val="22"/>
          <w:lang w:val="fr-CH" w:eastAsia="de-DE"/>
        </w:rPr>
        <w:t> </w:t>
      </w:r>
      <w:r w:rsidRPr="008C3E26">
        <w:rPr>
          <w:rFonts w:eastAsia="Times New Roman"/>
          <w:sz w:val="22"/>
          <w:lang w:val="fr-CH" w:eastAsia="de-DE"/>
        </w:rPr>
        <w:t>; dans le cadre du processus de planification, il faut tenir compte aussi bien des résultats de l’examen des besoins du transport des voyageurs que du transport de marchandises</w:t>
      </w:r>
      <w:r w:rsidR="008B1505">
        <w:rPr>
          <w:rFonts w:eastAsia="Times New Roman"/>
          <w:sz w:val="22"/>
          <w:lang w:val="fr-CH" w:eastAsia="de-DE"/>
        </w:rPr>
        <w:t>.</w:t>
      </w:r>
      <w:r w:rsidRPr="008C3E26">
        <w:rPr>
          <w:rFonts w:eastAsia="Times New Roman"/>
          <w:sz w:val="22"/>
          <w:lang w:val="fr-CH" w:eastAsia="de-DE"/>
        </w:rPr>
        <w:t xml:space="preserve"> Il en va de même pour la planification des intervalles </w:t>
      </w:r>
      <w:r w:rsidR="00907BAB" w:rsidRPr="008C3E26">
        <w:rPr>
          <w:rFonts w:eastAsia="Times New Roman"/>
          <w:sz w:val="22"/>
          <w:lang w:val="fr-CH" w:eastAsia="de-DE"/>
        </w:rPr>
        <w:t xml:space="preserve">destinés </w:t>
      </w:r>
      <w:r w:rsidR="00907BAB">
        <w:rPr>
          <w:rFonts w:eastAsia="Times New Roman"/>
          <w:sz w:val="22"/>
          <w:lang w:val="fr-CH" w:eastAsia="de-DE"/>
        </w:rPr>
        <w:t>à</w:t>
      </w:r>
      <w:r w:rsidR="008D55D5">
        <w:rPr>
          <w:rFonts w:eastAsia="Times New Roman"/>
          <w:sz w:val="22"/>
          <w:lang w:val="fr-CH" w:eastAsia="de-DE"/>
        </w:rPr>
        <w:t xml:space="preserve"> la </w:t>
      </w:r>
      <w:r w:rsidR="00377436">
        <w:rPr>
          <w:rFonts w:eastAsia="Times New Roman"/>
          <w:sz w:val="22"/>
          <w:lang w:val="fr-CH" w:eastAsia="de-DE"/>
        </w:rPr>
        <w:t>maintenance</w:t>
      </w:r>
      <w:r w:rsidR="008B1505">
        <w:rPr>
          <w:rFonts w:eastAsia="Times New Roman"/>
          <w:sz w:val="22"/>
          <w:lang w:val="fr-CH" w:eastAsia="de-DE"/>
        </w:rPr>
        <w:t xml:space="preserve">, qui </w:t>
      </w:r>
      <w:r w:rsidR="008B1505" w:rsidRPr="008B1505">
        <w:rPr>
          <w:rFonts w:eastAsia="Times New Roman"/>
          <w:sz w:val="22"/>
          <w:lang w:val="fr-CH" w:eastAsia="de-DE"/>
        </w:rPr>
        <w:t>doit être effectuée en temps utile, conformément au cadre légal en vigueur, et coordonn</w:t>
      </w:r>
      <w:r w:rsidR="008D55D5">
        <w:rPr>
          <w:rFonts w:eastAsia="Times New Roman"/>
          <w:sz w:val="22"/>
          <w:lang w:val="fr-CH" w:eastAsia="de-DE"/>
        </w:rPr>
        <w:t>ée</w:t>
      </w:r>
      <w:r w:rsidR="008B1505" w:rsidRPr="008B1505">
        <w:rPr>
          <w:rFonts w:eastAsia="Times New Roman"/>
          <w:sz w:val="22"/>
          <w:lang w:val="fr-CH" w:eastAsia="de-DE"/>
        </w:rPr>
        <w:t xml:space="preserve"> avec les projets </w:t>
      </w:r>
      <w:r w:rsidR="008B1505">
        <w:rPr>
          <w:rFonts w:eastAsia="Times New Roman"/>
          <w:sz w:val="22"/>
          <w:lang w:val="fr-CH" w:eastAsia="de-DE"/>
        </w:rPr>
        <w:t>d’aménagement</w:t>
      </w:r>
      <w:r w:rsidRPr="008C3E26">
        <w:rPr>
          <w:rFonts w:eastAsia="Times New Roman"/>
          <w:sz w:val="22"/>
          <w:lang w:val="fr-CH" w:eastAsia="de-DE"/>
        </w:rPr>
        <w:t>.</w:t>
      </w:r>
    </w:p>
    <w:p w14:paraId="6E9AAB0B" w14:textId="1861EDD4" w:rsidR="00243EBA" w:rsidRPr="00BF5802" w:rsidRDefault="00243EBA" w:rsidP="00617E6D">
      <w:pPr>
        <w:pStyle w:val="TitelArtikelKomm"/>
        <w:spacing w:line="360" w:lineRule="auto"/>
        <w:rPr>
          <w:rFonts w:ascii="Arial" w:hAnsi="Arial" w:cs="Arial"/>
          <w:b/>
          <w:i w:val="0"/>
          <w:sz w:val="22"/>
          <w:lang w:val="fr-CH"/>
        </w:rPr>
      </w:pPr>
      <w:r w:rsidRPr="00BF5802">
        <w:rPr>
          <w:rFonts w:ascii="Arial" w:hAnsi="Arial" w:cs="Arial"/>
          <w:b/>
          <w:i w:val="0"/>
          <w:sz w:val="22"/>
          <w:lang w:val="fr-CH"/>
        </w:rPr>
        <w:lastRenderedPageBreak/>
        <w:t>Art.</w:t>
      </w:r>
      <w:r w:rsidR="008B1505" w:rsidRPr="00BF5802">
        <w:rPr>
          <w:rFonts w:ascii="Arial" w:hAnsi="Arial" w:cs="Arial"/>
          <w:b/>
          <w:i w:val="0"/>
          <w:sz w:val="22"/>
          <w:lang w:val="fr-CH"/>
        </w:rPr>
        <w:t> </w:t>
      </w:r>
      <w:r w:rsidRPr="00BF5802">
        <w:rPr>
          <w:rFonts w:ascii="Arial" w:hAnsi="Arial" w:cs="Arial"/>
          <w:b/>
          <w:i w:val="0"/>
          <w:sz w:val="22"/>
          <w:lang w:val="fr-CH"/>
        </w:rPr>
        <w:t>10</w:t>
      </w:r>
      <w:r w:rsidRPr="00BF5802">
        <w:rPr>
          <w:rFonts w:ascii="Arial" w:hAnsi="Arial" w:cs="Arial"/>
          <w:b/>
          <w:i w:val="0"/>
          <w:sz w:val="22"/>
          <w:lang w:val="fr-CH"/>
        </w:rPr>
        <w:tab/>
      </w:r>
      <w:r w:rsidR="008B1505" w:rsidRPr="008B1505">
        <w:rPr>
          <w:rFonts w:ascii="Arial" w:hAnsi="Arial" w:cs="Arial"/>
          <w:b/>
          <w:i w:val="0"/>
          <w:sz w:val="22"/>
          <w:lang w:val="fr-CH"/>
        </w:rPr>
        <w:t>Utilisation optimale et non discriminatoire des capacités disponibles</w:t>
      </w:r>
    </w:p>
    <w:p w14:paraId="425F191B" w14:textId="7B8B2332" w:rsidR="008B1505" w:rsidRPr="008B1505" w:rsidRDefault="008B1505" w:rsidP="008B1505">
      <w:pPr>
        <w:spacing w:before="80" w:line="240" w:lineRule="auto"/>
        <w:jc w:val="both"/>
        <w:rPr>
          <w:rFonts w:eastAsia="Times New Roman"/>
          <w:sz w:val="22"/>
          <w:lang w:val="fr-CH" w:eastAsia="de-DE"/>
        </w:rPr>
      </w:pPr>
      <w:r w:rsidRPr="008B1505">
        <w:rPr>
          <w:rFonts w:eastAsia="Times New Roman"/>
          <w:sz w:val="22"/>
          <w:lang w:val="fr-CH" w:eastAsia="de-DE"/>
        </w:rPr>
        <w:t>L’entreprise garantit un accès non discriminatoire à l’infrastructure et veille à assurer une attribution optimale des capacités de la manière suivante</w:t>
      </w:r>
      <w:r>
        <w:rPr>
          <w:rFonts w:eastAsia="Times New Roman"/>
          <w:sz w:val="22"/>
          <w:lang w:val="fr-CH" w:eastAsia="de-DE"/>
        </w:rPr>
        <w:t> </w:t>
      </w:r>
      <w:r w:rsidRPr="008B1505">
        <w:rPr>
          <w:rFonts w:eastAsia="Times New Roman"/>
          <w:sz w:val="22"/>
          <w:lang w:val="fr-CH" w:eastAsia="de-DE"/>
        </w:rPr>
        <w:t>:</w:t>
      </w:r>
    </w:p>
    <w:p w14:paraId="55530536" w14:textId="7FF06A0C" w:rsidR="008B1505" w:rsidRPr="008B1505" w:rsidRDefault="008B1505" w:rsidP="008B1505">
      <w:pPr>
        <w:tabs>
          <w:tab w:val="left" w:pos="567"/>
        </w:tabs>
        <w:spacing w:before="80" w:line="240" w:lineRule="auto"/>
        <w:ind w:left="567" w:hanging="357"/>
        <w:jc w:val="both"/>
        <w:rPr>
          <w:rFonts w:eastAsia="Times New Roman"/>
          <w:sz w:val="22"/>
          <w:lang w:val="fr-CH" w:eastAsia="de-DE"/>
        </w:rPr>
      </w:pPr>
      <w:r w:rsidRPr="008B1505">
        <w:rPr>
          <w:rFonts w:eastAsia="Times New Roman"/>
          <w:sz w:val="22"/>
          <w:lang w:val="fr-CH" w:eastAsia="de-DE"/>
        </w:rPr>
        <w:t>a.</w:t>
      </w:r>
      <w:r w:rsidRPr="008B1505">
        <w:rPr>
          <w:rFonts w:eastAsia="Times New Roman"/>
          <w:sz w:val="22"/>
          <w:lang w:val="fr-CH" w:eastAsia="de-DE"/>
        </w:rPr>
        <w:tab/>
      </w:r>
      <w:r>
        <w:rPr>
          <w:rFonts w:eastAsia="Times New Roman"/>
          <w:sz w:val="22"/>
          <w:lang w:val="fr-CH" w:eastAsia="de-DE"/>
        </w:rPr>
        <w:t>L</w:t>
      </w:r>
      <w:r w:rsidRPr="008B1505">
        <w:rPr>
          <w:rFonts w:eastAsia="Times New Roman"/>
          <w:sz w:val="22"/>
          <w:lang w:val="fr-CH" w:eastAsia="de-DE"/>
        </w:rPr>
        <w:t>’entreprise fournit au service d’attribution des sillons les bases nécessaires à une attribution optimale des capacités</w:t>
      </w:r>
      <w:r>
        <w:rPr>
          <w:rFonts w:eastAsia="Times New Roman"/>
          <w:sz w:val="22"/>
          <w:lang w:val="fr-CH" w:eastAsia="de-DE"/>
        </w:rPr>
        <w:t>.</w:t>
      </w:r>
      <w:r w:rsidRPr="008B1505">
        <w:rPr>
          <w:rFonts w:eastAsia="Times New Roman"/>
          <w:sz w:val="22"/>
          <w:lang w:val="fr-CH" w:eastAsia="de-DE"/>
        </w:rPr>
        <w:t xml:space="preserve"> [</w:t>
      </w:r>
      <w:proofErr w:type="gramStart"/>
      <w:r w:rsidRPr="008B1505">
        <w:rPr>
          <w:rFonts w:eastAsia="Times New Roman"/>
          <w:sz w:val="22"/>
          <w:lang w:val="fr-CH" w:eastAsia="de-DE"/>
        </w:rPr>
        <w:t>tronçons</w:t>
      </w:r>
      <w:proofErr w:type="gramEnd"/>
      <w:r w:rsidRPr="008B1505">
        <w:rPr>
          <w:rFonts w:eastAsia="Times New Roman"/>
          <w:sz w:val="22"/>
          <w:lang w:val="fr-CH" w:eastAsia="de-DE"/>
        </w:rPr>
        <w:t xml:space="preserve"> non interopérables</w:t>
      </w:r>
      <w:r>
        <w:rPr>
          <w:rFonts w:eastAsia="Times New Roman"/>
          <w:sz w:val="22"/>
          <w:lang w:val="fr-CH" w:eastAsia="de-DE"/>
        </w:rPr>
        <w:t> </w:t>
      </w:r>
      <w:r w:rsidRPr="008B1505">
        <w:rPr>
          <w:rFonts w:eastAsia="Times New Roman"/>
          <w:sz w:val="22"/>
          <w:lang w:val="fr-CH" w:eastAsia="de-DE"/>
        </w:rPr>
        <w:t xml:space="preserve">: </w:t>
      </w:r>
      <w:r w:rsidR="004D2869">
        <w:rPr>
          <w:rFonts w:eastAsia="Times New Roman"/>
          <w:sz w:val="22"/>
          <w:lang w:val="fr-CH" w:eastAsia="de-DE"/>
        </w:rPr>
        <w:t>L</w:t>
      </w:r>
      <w:r w:rsidRPr="008B1505">
        <w:rPr>
          <w:rFonts w:eastAsia="Times New Roman"/>
          <w:sz w:val="22"/>
          <w:lang w:val="fr-CH" w:eastAsia="de-DE"/>
        </w:rPr>
        <w:t>’entreprise assure une attribution optimale des sillons à toute ETF intéressée</w:t>
      </w:r>
      <w:r>
        <w:rPr>
          <w:rFonts w:eastAsia="Times New Roman"/>
          <w:sz w:val="22"/>
          <w:lang w:val="fr-CH" w:eastAsia="de-DE"/>
        </w:rPr>
        <w:t>.</w:t>
      </w:r>
      <w:r w:rsidRPr="008B1505">
        <w:rPr>
          <w:rFonts w:eastAsia="Times New Roman"/>
          <w:sz w:val="22"/>
          <w:lang w:val="fr-CH" w:eastAsia="de-DE"/>
        </w:rPr>
        <w:t>]</w:t>
      </w:r>
    </w:p>
    <w:p w14:paraId="0512031F" w14:textId="7B856E8A" w:rsidR="009C3466" w:rsidRPr="008B1505" w:rsidRDefault="008B1505" w:rsidP="008B1505">
      <w:pPr>
        <w:pStyle w:val="Struktur1"/>
        <w:spacing w:line="240" w:lineRule="auto"/>
        <w:rPr>
          <w:rFonts w:ascii="Arial" w:hAnsi="Arial" w:cs="Arial"/>
          <w:sz w:val="22"/>
          <w:szCs w:val="22"/>
          <w:lang w:val="fr-CH"/>
        </w:rPr>
      </w:pPr>
      <w:r w:rsidRPr="008B1505">
        <w:rPr>
          <w:rFonts w:ascii="Arial" w:hAnsi="Arial" w:cs="Arial"/>
          <w:sz w:val="22"/>
          <w:szCs w:val="22"/>
          <w:lang w:val="fr-CH"/>
        </w:rPr>
        <w:t>b.</w:t>
      </w:r>
      <w:r w:rsidRPr="008B1505">
        <w:rPr>
          <w:rFonts w:ascii="Arial" w:hAnsi="Arial" w:cs="Arial"/>
          <w:sz w:val="22"/>
          <w:szCs w:val="22"/>
          <w:lang w:val="fr-CH"/>
        </w:rPr>
        <w:tab/>
        <w:t xml:space="preserve">[Pour toutes les entreprises sauf WAB] </w:t>
      </w:r>
      <w:r w:rsidR="004D2869">
        <w:rPr>
          <w:rFonts w:ascii="Arial" w:hAnsi="Arial" w:cs="Arial"/>
          <w:sz w:val="22"/>
          <w:szCs w:val="22"/>
          <w:lang w:val="fr-CH"/>
        </w:rPr>
        <w:t>L</w:t>
      </w:r>
      <w:r w:rsidRPr="008B1505">
        <w:rPr>
          <w:rFonts w:ascii="Arial" w:hAnsi="Arial" w:cs="Arial"/>
          <w:sz w:val="22"/>
          <w:szCs w:val="22"/>
          <w:lang w:val="fr-CH"/>
        </w:rPr>
        <w:t xml:space="preserve">’entreprise publie </w:t>
      </w:r>
      <w:r w:rsidR="004D2869">
        <w:rPr>
          <w:rFonts w:ascii="Arial" w:hAnsi="Arial" w:cs="Arial"/>
          <w:sz w:val="22"/>
          <w:szCs w:val="22"/>
          <w:lang w:val="fr-CH"/>
        </w:rPr>
        <w:t xml:space="preserve">l’ensemble des informations ancrées légalement et usuelles pour la branche telles que </w:t>
      </w:r>
      <w:r w:rsidRPr="008B1505">
        <w:rPr>
          <w:rFonts w:ascii="Arial" w:hAnsi="Arial" w:cs="Arial"/>
          <w:sz w:val="22"/>
          <w:szCs w:val="22"/>
          <w:lang w:val="fr-CH"/>
        </w:rPr>
        <w:t xml:space="preserve">les paramètres techniques pertinents pour l’accès au réseau </w:t>
      </w:r>
      <w:r w:rsidR="004D2869">
        <w:rPr>
          <w:rFonts w:ascii="Arial" w:hAnsi="Arial" w:cs="Arial"/>
          <w:sz w:val="22"/>
          <w:szCs w:val="22"/>
          <w:lang w:val="fr-CH"/>
        </w:rPr>
        <w:t xml:space="preserve">ou les conditions-cadre légales, commerciales ou relevant purement de l’exploitation. En outre, il </w:t>
      </w:r>
      <w:r w:rsidR="00CB14D2">
        <w:rPr>
          <w:rFonts w:ascii="Arial" w:hAnsi="Arial" w:cs="Arial"/>
          <w:sz w:val="22"/>
          <w:szCs w:val="22"/>
          <w:lang w:val="fr-CH"/>
        </w:rPr>
        <w:t>faut</w:t>
      </w:r>
      <w:r w:rsidR="004D2869">
        <w:rPr>
          <w:rFonts w:ascii="Arial" w:hAnsi="Arial" w:cs="Arial"/>
          <w:sz w:val="22"/>
          <w:szCs w:val="22"/>
          <w:lang w:val="fr-CH"/>
        </w:rPr>
        <w:t xml:space="preserve"> publier sur Internet </w:t>
      </w:r>
      <w:r w:rsidRPr="008B1505">
        <w:rPr>
          <w:rFonts w:ascii="Arial" w:hAnsi="Arial" w:cs="Arial"/>
          <w:sz w:val="22"/>
          <w:szCs w:val="22"/>
          <w:lang w:val="fr-CH"/>
        </w:rPr>
        <w:t>les capacités garanties sur les différents tronçons conformément aux plans d’utilisation du réseau en vigueur.</w:t>
      </w:r>
    </w:p>
    <w:p w14:paraId="1F0E6E64" w14:textId="77777777" w:rsidR="009C3466" w:rsidRPr="00BF5802" w:rsidRDefault="009C3466">
      <w:pPr>
        <w:spacing w:after="160" w:line="259" w:lineRule="auto"/>
        <w:rPr>
          <w:rFonts w:eastAsia="Times New Roman"/>
          <w:sz w:val="22"/>
          <w:lang w:val="fr-CH" w:eastAsia="de-DE"/>
        </w:rPr>
      </w:pPr>
    </w:p>
    <w:p w14:paraId="07ADB9AA" w14:textId="5E1C239D" w:rsidR="00243EBA" w:rsidRPr="00E4385B" w:rsidRDefault="008B1505" w:rsidP="000A0102">
      <w:pPr>
        <w:pStyle w:val="TitelAnhKurztit"/>
        <w:spacing w:line="240" w:lineRule="auto"/>
        <w:rPr>
          <w:rFonts w:ascii="Arial" w:hAnsi="Arial" w:cs="Arial"/>
          <w:sz w:val="24"/>
          <w:lang w:val="fr-CH"/>
        </w:rPr>
      </w:pPr>
      <w:r>
        <w:rPr>
          <w:rFonts w:ascii="Arial" w:hAnsi="Arial" w:cs="Arial"/>
          <w:sz w:val="24"/>
          <w:lang w:val="fr-CH"/>
        </w:rPr>
        <w:t>Section 3</w:t>
      </w:r>
      <w:r>
        <w:rPr>
          <w:rFonts w:ascii="Arial" w:hAnsi="Arial" w:cs="Arial"/>
          <w:sz w:val="24"/>
          <w:lang w:val="fr-CH"/>
        </w:rPr>
        <w:tab/>
      </w:r>
      <w:r w:rsidR="00243EBA" w:rsidRPr="00E4385B">
        <w:rPr>
          <w:rFonts w:ascii="Arial" w:hAnsi="Arial" w:cs="Arial"/>
          <w:sz w:val="24"/>
          <w:lang w:val="fr-CH"/>
        </w:rPr>
        <w:t>Standards</w:t>
      </w:r>
    </w:p>
    <w:p w14:paraId="2EB85F3D" w14:textId="329697A0" w:rsidR="00243EBA" w:rsidRPr="00E4385B" w:rsidRDefault="00243EBA" w:rsidP="00617E6D">
      <w:pPr>
        <w:pStyle w:val="TitelArtikelKomm"/>
        <w:spacing w:line="360" w:lineRule="auto"/>
        <w:rPr>
          <w:rFonts w:ascii="Arial" w:hAnsi="Arial" w:cs="Arial"/>
          <w:b/>
          <w:i w:val="0"/>
          <w:sz w:val="22"/>
          <w:lang w:val="fr-CH"/>
        </w:rPr>
      </w:pPr>
      <w:r w:rsidRPr="00E4385B">
        <w:rPr>
          <w:rFonts w:ascii="Arial" w:hAnsi="Arial" w:cs="Arial"/>
          <w:b/>
          <w:i w:val="0"/>
          <w:sz w:val="22"/>
          <w:lang w:val="fr-CH"/>
        </w:rPr>
        <w:t>Art.</w:t>
      </w:r>
      <w:r w:rsidR="008B1505">
        <w:rPr>
          <w:rFonts w:ascii="Arial" w:hAnsi="Arial" w:cs="Arial"/>
          <w:b/>
          <w:i w:val="0"/>
          <w:sz w:val="22"/>
          <w:lang w:val="fr-CH"/>
        </w:rPr>
        <w:t> </w:t>
      </w:r>
      <w:r w:rsidRPr="00E4385B">
        <w:rPr>
          <w:rFonts w:ascii="Arial" w:hAnsi="Arial" w:cs="Arial"/>
          <w:b/>
          <w:i w:val="0"/>
          <w:sz w:val="22"/>
          <w:lang w:val="fr-CH"/>
        </w:rPr>
        <w:t>11</w:t>
      </w:r>
      <w:r w:rsidRPr="00E4385B">
        <w:rPr>
          <w:rFonts w:ascii="Arial" w:hAnsi="Arial" w:cs="Arial"/>
          <w:b/>
          <w:i w:val="0"/>
          <w:sz w:val="22"/>
          <w:lang w:val="fr-CH"/>
        </w:rPr>
        <w:tab/>
        <w:t>Standards</w:t>
      </w:r>
      <w:r w:rsidR="008B1505">
        <w:rPr>
          <w:rFonts w:ascii="Arial" w:hAnsi="Arial" w:cs="Arial"/>
          <w:b/>
          <w:i w:val="0"/>
          <w:sz w:val="22"/>
          <w:lang w:val="fr-CH"/>
        </w:rPr>
        <w:t xml:space="preserve"> à respecter</w:t>
      </w:r>
    </w:p>
    <w:p w14:paraId="1FFBC057" w14:textId="05151526"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1 </w:t>
      </w:r>
      <w:r w:rsidRPr="004D2869">
        <w:rPr>
          <w:rFonts w:eastAsia="Times New Roman"/>
          <w:sz w:val="22"/>
          <w:lang w:val="fr-CH" w:eastAsia="de-DE"/>
        </w:rPr>
        <w:t xml:space="preserve">L’entreprise construit et entretient son infrastructure conformément aux exigences légales et normes en vigueur. Si en raison de prescriptions </w:t>
      </w:r>
      <w:r w:rsidR="00B1296E">
        <w:rPr>
          <w:rFonts w:eastAsia="Times New Roman"/>
          <w:sz w:val="22"/>
          <w:lang w:val="fr-CH" w:eastAsia="de-DE"/>
        </w:rPr>
        <w:t>régaliennes</w:t>
      </w:r>
      <w:r w:rsidRPr="004D2869">
        <w:rPr>
          <w:rFonts w:eastAsia="Times New Roman"/>
          <w:sz w:val="22"/>
          <w:lang w:val="fr-CH" w:eastAsia="de-DE"/>
        </w:rPr>
        <w:t xml:space="preserve">, la réalisation de projets entraîne </w:t>
      </w:r>
      <w:r w:rsidR="00B1296E">
        <w:rPr>
          <w:rFonts w:eastAsia="Times New Roman"/>
          <w:sz w:val="22"/>
          <w:lang w:val="fr-CH" w:eastAsia="de-DE"/>
        </w:rPr>
        <w:t>des surcoûts</w:t>
      </w:r>
      <w:r w:rsidRPr="004D2869">
        <w:rPr>
          <w:rFonts w:eastAsia="Times New Roman"/>
          <w:sz w:val="22"/>
          <w:lang w:val="fr-CH" w:eastAsia="de-DE"/>
        </w:rPr>
        <w:t xml:space="preserve"> considérable</w:t>
      </w:r>
      <w:r w:rsidR="00B1296E">
        <w:rPr>
          <w:rFonts w:eastAsia="Times New Roman"/>
          <w:sz w:val="22"/>
          <w:lang w:val="fr-CH" w:eastAsia="de-DE"/>
        </w:rPr>
        <w:t>s</w:t>
      </w:r>
      <w:r w:rsidRPr="004D2869">
        <w:rPr>
          <w:rFonts w:eastAsia="Times New Roman"/>
          <w:sz w:val="22"/>
          <w:lang w:val="fr-CH" w:eastAsia="de-DE"/>
        </w:rPr>
        <w:t xml:space="preserve">, </w:t>
      </w:r>
      <w:r w:rsidR="00B1296E">
        <w:rPr>
          <w:rFonts w:eastAsia="Times New Roman"/>
          <w:sz w:val="22"/>
          <w:lang w:val="fr-CH" w:eastAsia="de-DE"/>
        </w:rPr>
        <w:t>il convient de se concerter</w:t>
      </w:r>
      <w:r w:rsidRPr="004D2869">
        <w:rPr>
          <w:rFonts w:eastAsia="Times New Roman"/>
          <w:sz w:val="22"/>
          <w:lang w:val="fr-CH" w:eastAsia="de-DE"/>
        </w:rPr>
        <w:t xml:space="preserve"> </w:t>
      </w:r>
      <w:r w:rsidR="00CB14D2">
        <w:rPr>
          <w:rFonts w:eastAsia="Times New Roman"/>
          <w:sz w:val="22"/>
          <w:lang w:val="fr-CH" w:eastAsia="de-DE"/>
        </w:rPr>
        <w:t>suffisamment tôt</w:t>
      </w:r>
      <w:r w:rsidRPr="004D2869">
        <w:rPr>
          <w:rFonts w:eastAsia="Times New Roman"/>
          <w:sz w:val="22"/>
          <w:lang w:val="fr-CH" w:eastAsia="de-DE"/>
        </w:rPr>
        <w:t xml:space="preserve"> avec l’OFT et </w:t>
      </w:r>
      <w:r w:rsidR="00B1296E">
        <w:rPr>
          <w:rFonts w:eastAsia="Times New Roman"/>
          <w:sz w:val="22"/>
          <w:lang w:val="fr-CH" w:eastAsia="de-DE"/>
        </w:rPr>
        <w:t xml:space="preserve">de présenter </w:t>
      </w:r>
      <w:r w:rsidRPr="004D2869">
        <w:rPr>
          <w:rFonts w:eastAsia="Times New Roman"/>
          <w:sz w:val="22"/>
          <w:lang w:val="fr-CH" w:eastAsia="de-DE"/>
        </w:rPr>
        <w:t xml:space="preserve">des alternatives </w:t>
      </w:r>
      <w:r w:rsidR="00CB14D2">
        <w:rPr>
          <w:rFonts w:eastAsia="Times New Roman"/>
          <w:sz w:val="22"/>
          <w:lang w:val="fr-CH" w:eastAsia="de-DE"/>
        </w:rPr>
        <w:t xml:space="preserve">au sens de </w:t>
      </w:r>
      <w:r w:rsidRPr="004D2869">
        <w:rPr>
          <w:rFonts w:eastAsia="Times New Roman"/>
          <w:sz w:val="22"/>
          <w:lang w:val="fr-CH" w:eastAsia="de-DE"/>
        </w:rPr>
        <w:t xml:space="preserve">l’art. 5, al. 2, OCF. En outre, les </w:t>
      </w:r>
      <w:r w:rsidR="00B1296E">
        <w:rPr>
          <w:rFonts w:eastAsia="Times New Roman"/>
          <w:sz w:val="22"/>
          <w:lang w:val="fr-CH" w:eastAsia="de-DE"/>
        </w:rPr>
        <w:t>prescriptions</w:t>
      </w:r>
      <w:r w:rsidRPr="004D2869">
        <w:rPr>
          <w:rFonts w:eastAsia="Times New Roman"/>
          <w:sz w:val="22"/>
          <w:lang w:val="fr-CH" w:eastAsia="de-DE"/>
        </w:rPr>
        <w:t xml:space="preserve"> suivantes s’appliquent de manière générale.</w:t>
      </w:r>
    </w:p>
    <w:p w14:paraId="180E93A3" w14:textId="6A61BE86"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2 </w:t>
      </w:r>
      <w:r w:rsidRPr="004D2869">
        <w:rPr>
          <w:rFonts w:eastAsia="Times New Roman"/>
          <w:sz w:val="22"/>
          <w:lang w:val="fr-CH" w:eastAsia="de-DE"/>
        </w:rPr>
        <w:t xml:space="preserve">Les croisements qui font l’objet d’investissements doivent être conçus en vue d’une longueur utile d’au moins 220 m [120 m pour certains réseaux à voie étroite]. Aux points d’arrêt, toutes les voies sauf celles qui servent exclusivement aux croisements réglementaires de trains </w:t>
      </w:r>
      <w:r w:rsidR="00B1296E">
        <w:rPr>
          <w:rFonts w:eastAsia="Times New Roman"/>
          <w:sz w:val="22"/>
          <w:lang w:val="fr-CH" w:eastAsia="de-DE"/>
        </w:rPr>
        <w:t>de passage du transport de voyageurs</w:t>
      </w:r>
      <w:r w:rsidRPr="004D2869">
        <w:rPr>
          <w:rFonts w:eastAsia="Times New Roman"/>
          <w:sz w:val="22"/>
          <w:lang w:val="fr-CH" w:eastAsia="de-DE"/>
        </w:rPr>
        <w:t>, de service ou de marchandises doivent être munies d’installations d’accueil. La longueur disponible des quais est fonction de la longueur des trains prévus dans la stratégie d’utilisation du réseau ou dans la stratégie des tronçons (art.</w:t>
      </w:r>
      <w:r w:rsidR="00B1296E">
        <w:rPr>
          <w:rFonts w:eastAsia="Times New Roman"/>
          <w:sz w:val="22"/>
          <w:lang w:val="fr-CH" w:eastAsia="de-DE"/>
        </w:rPr>
        <w:t> </w:t>
      </w:r>
      <w:r w:rsidRPr="004D2869">
        <w:rPr>
          <w:rFonts w:eastAsia="Times New Roman"/>
          <w:sz w:val="22"/>
          <w:lang w:val="fr-CH" w:eastAsia="de-DE"/>
        </w:rPr>
        <w:t>7, al.</w:t>
      </w:r>
      <w:r w:rsidR="00B1296E">
        <w:rPr>
          <w:rFonts w:eastAsia="Times New Roman"/>
          <w:sz w:val="22"/>
          <w:lang w:val="fr-CH" w:eastAsia="de-DE"/>
        </w:rPr>
        <w:t> </w:t>
      </w:r>
      <w:r w:rsidRPr="004D2869">
        <w:rPr>
          <w:rFonts w:eastAsia="Times New Roman"/>
          <w:sz w:val="22"/>
          <w:lang w:val="fr-CH" w:eastAsia="de-DE"/>
        </w:rPr>
        <w:t>1, let.</w:t>
      </w:r>
      <w:r w:rsidR="00B1296E">
        <w:rPr>
          <w:rFonts w:eastAsia="Times New Roman"/>
          <w:sz w:val="22"/>
          <w:lang w:val="fr-CH" w:eastAsia="de-DE"/>
        </w:rPr>
        <w:t> </w:t>
      </w:r>
      <w:proofErr w:type="gramStart"/>
      <w:r w:rsidR="00B1296E">
        <w:rPr>
          <w:rFonts w:eastAsia="Times New Roman"/>
          <w:sz w:val="22"/>
          <w:lang w:val="fr-CH" w:eastAsia="de-DE"/>
        </w:rPr>
        <w:t>f</w:t>
      </w:r>
      <w:proofErr w:type="gramEnd"/>
      <w:r w:rsidRPr="004D2869">
        <w:rPr>
          <w:rFonts w:eastAsia="Times New Roman"/>
          <w:sz w:val="22"/>
          <w:lang w:val="fr-CH" w:eastAsia="de-DE"/>
        </w:rPr>
        <w:t xml:space="preserve">). Si ces standards sont onéreux </w:t>
      </w:r>
      <w:r w:rsidR="00B1296E">
        <w:rPr>
          <w:rFonts w:eastAsia="Times New Roman"/>
          <w:sz w:val="22"/>
          <w:lang w:val="fr-CH" w:eastAsia="de-DE"/>
        </w:rPr>
        <w:t xml:space="preserve">ou </w:t>
      </w:r>
      <w:r w:rsidRPr="004D2869">
        <w:rPr>
          <w:rFonts w:eastAsia="Times New Roman"/>
          <w:sz w:val="22"/>
          <w:lang w:val="fr-CH" w:eastAsia="de-DE"/>
        </w:rPr>
        <w:t xml:space="preserve">s’il n’est pas vraisemblable que l’installation </w:t>
      </w:r>
      <w:r w:rsidR="00B1296E" w:rsidRPr="004D2869">
        <w:rPr>
          <w:rFonts w:eastAsia="Times New Roman"/>
          <w:sz w:val="22"/>
          <w:lang w:val="fr-CH" w:eastAsia="de-DE"/>
        </w:rPr>
        <w:t>puisse</w:t>
      </w:r>
      <w:r w:rsidRPr="004D2869">
        <w:rPr>
          <w:rFonts w:eastAsia="Times New Roman"/>
          <w:sz w:val="22"/>
          <w:lang w:val="fr-CH" w:eastAsia="de-DE"/>
        </w:rPr>
        <w:t xml:space="preserve"> être utilisée jusqu’à la fin de sa durée de vie, l’OFT et l’entreprise conviennent à l’avance que l’on renonce à l’exigence.</w:t>
      </w:r>
    </w:p>
    <w:p w14:paraId="02429961" w14:textId="09444E6E"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3 </w:t>
      </w:r>
      <w:r w:rsidRPr="004D2869">
        <w:rPr>
          <w:rFonts w:eastAsia="Times New Roman"/>
          <w:sz w:val="22"/>
          <w:lang w:val="fr-CH" w:eastAsia="de-DE"/>
        </w:rPr>
        <w:t>La biodiversité est prise en compte dans le cadre du renouvellement et de l’entretien de l’infrastructure ferroviaire dans le sens du Plan d’action Stratégie Biodiversité Suisse (PA SBS) adopté par le Conseil fédéral le 6</w:t>
      </w:r>
      <w:r w:rsidR="005F4994">
        <w:rPr>
          <w:rFonts w:eastAsia="Times New Roman"/>
          <w:sz w:val="22"/>
          <w:lang w:val="fr-CH" w:eastAsia="de-DE"/>
        </w:rPr>
        <w:t> </w:t>
      </w:r>
      <w:r w:rsidRPr="004D2869">
        <w:rPr>
          <w:rFonts w:eastAsia="Times New Roman"/>
          <w:sz w:val="22"/>
          <w:lang w:val="fr-CH" w:eastAsia="de-DE"/>
        </w:rPr>
        <w:t>septembre</w:t>
      </w:r>
      <w:r w:rsidR="005F4994">
        <w:rPr>
          <w:rFonts w:eastAsia="Times New Roman"/>
          <w:sz w:val="22"/>
          <w:lang w:val="fr-CH" w:eastAsia="de-DE"/>
        </w:rPr>
        <w:t> </w:t>
      </w:r>
      <w:r w:rsidRPr="004D2869">
        <w:rPr>
          <w:rFonts w:eastAsia="Times New Roman"/>
          <w:sz w:val="22"/>
          <w:lang w:val="fr-CH" w:eastAsia="de-DE"/>
        </w:rPr>
        <w:t>2017.</w:t>
      </w:r>
      <w:r w:rsidR="00B1296E" w:rsidRPr="00BF5802">
        <w:rPr>
          <w:lang w:val="fr-CH"/>
        </w:rPr>
        <w:t xml:space="preserve"> </w:t>
      </w:r>
      <w:r w:rsidR="00B1296E" w:rsidRPr="00B1296E">
        <w:rPr>
          <w:rFonts w:eastAsia="Times New Roman"/>
          <w:sz w:val="22"/>
          <w:lang w:val="fr-CH" w:eastAsia="de-DE"/>
        </w:rPr>
        <w:t>Dans le cadre de la mise en œuvre des mesures correspondantes, les entreprises se conforment entre autres au guide de l</w:t>
      </w:r>
      <w:r w:rsidR="00B1296E">
        <w:rPr>
          <w:rFonts w:eastAsia="Times New Roman"/>
          <w:sz w:val="22"/>
          <w:lang w:val="fr-CH" w:eastAsia="de-DE"/>
        </w:rPr>
        <w:t>’</w:t>
      </w:r>
      <w:r w:rsidR="00B1296E" w:rsidRPr="00B1296E">
        <w:rPr>
          <w:rFonts w:eastAsia="Times New Roman"/>
          <w:sz w:val="22"/>
          <w:lang w:val="fr-CH" w:eastAsia="de-DE"/>
        </w:rPr>
        <w:t xml:space="preserve">OFT </w:t>
      </w:r>
      <w:r w:rsidR="005F4994">
        <w:rPr>
          <w:rFonts w:eastAsia="Times New Roman"/>
          <w:sz w:val="22"/>
          <w:lang w:val="fr-CH" w:eastAsia="de-DE"/>
        </w:rPr>
        <w:t>sur</w:t>
      </w:r>
      <w:r w:rsidR="00B1296E" w:rsidRPr="00B1296E">
        <w:rPr>
          <w:rFonts w:eastAsia="Times New Roman"/>
          <w:sz w:val="22"/>
          <w:lang w:val="fr-CH" w:eastAsia="de-DE"/>
        </w:rPr>
        <w:t xml:space="preserve"> l</w:t>
      </w:r>
      <w:r w:rsidR="00B1296E">
        <w:rPr>
          <w:rFonts w:eastAsia="Times New Roman"/>
          <w:sz w:val="22"/>
          <w:lang w:val="fr-CH" w:eastAsia="de-DE"/>
        </w:rPr>
        <w:t>’</w:t>
      </w:r>
      <w:r w:rsidR="00B1296E" w:rsidRPr="00B1296E">
        <w:rPr>
          <w:rFonts w:eastAsia="Times New Roman"/>
          <w:sz w:val="22"/>
          <w:lang w:val="fr-CH" w:eastAsia="de-DE"/>
        </w:rPr>
        <w:t>établissement de rapports dans le domaine de la biodiversité</w:t>
      </w:r>
    </w:p>
    <w:p w14:paraId="5002C473" w14:textId="1C8186CA"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4 </w:t>
      </w:r>
      <w:r w:rsidRPr="004D2869">
        <w:rPr>
          <w:rFonts w:eastAsia="Times New Roman"/>
          <w:sz w:val="22"/>
          <w:lang w:val="fr-CH" w:eastAsia="de-DE"/>
        </w:rPr>
        <w:t xml:space="preserve">[Chemins de fer à voie normale et tronçons interopérables conformément à l’OCF] </w:t>
      </w:r>
      <w:r w:rsidR="006857A7" w:rsidRPr="006857A7">
        <w:rPr>
          <w:rFonts w:eastAsia="Times New Roman"/>
          <w:sz w:val="22"/>
          <w:lang w:val="fr-CH" w:eastAsia="de-DE"/>
        </w:rPr>
        <w:t>L</w:t>
      </w:r>
      <w:r w:rsidR="006857A7">
        <w:rPr>
          <w:rFonts w:eastAsia="Times New Roman"/>
          <w:sz w:val="22"/>
          <w:lang w:val="fr-CH" w:eastAsia="de-DE"/>
        </w:rPr>
        <w:t>’</w:t>
      </w:r>
      <w:r w:rsidR="006857A7" w:rsidRPr="006857A7">
        <w:rPr>
          <w:rFonts w:eastAsia="Times New Roman"/>
          <w:sz w:val="22"/>
          <w:lang w:val="fr-CH" w:eastAsia="de-DE"/>
        </w:rPr>
        <w:t>entreprise assure l</w:t>
      </w:r>
      <w:r w:rsidR="006857A7">
        <w:rPr>
          <w:rFonts w:eastAsia="Times New Roman"/>
          <w:sz w:val="22"/>
          <w:lang w:val="fr-CH" w:eastAsia="de-DE"/>
        </w:rPr>
        <w:t>’</w:t>
      </w:r>
      <w:r w:rsidR="006857A7" w:rsidRPr="006857A7">
        <w:rPr>
          <w:rFonts w:eastAsia="Times New Roman"/>
          <w:sz w:val="22"/>
          <w:lang w:val="fr-CH" w:eastAsia="de-DE"/>
        </w:rPr>
        <w:t xml:space="preserve">exploitation du réseau </w:t>
      </w:r>
      <w:r w:rsidR="006857A7">
        <w:rPr>
          <w:rFonts w:eastAsia="Times New Roman"/>
          <w:sz w:val="22"/>
          <w:lang w:val="fr-CH" w:eastAsia="de-DE"/>
        </w:rPr>
        <w:t>à l’aide de l’</w:t>
      </w:r>
      <w:proofErr w:type="spellStart"/>
      <w:r w:rsidR="006857A7" w:rsidRPr="006857A7">
        <w:rPr>
          <w:rFonts w:eastAsia="Times New Roman"/>
          <w:i/>
          <w:iCs/>
          <w:sz w:val="22"/>
          <w:lang w:val="fr-CH" w:eastAsia="de-DE"/>
        </w:rPr>
        <w:t>ETCS</w:t>
      </w:r>
      <w:proofErr w:type="spellEnd"/>
      <w:r w:rsidR="006857A7" w:rsidRPr="006857A7">
        <w:rPr>
          <w:rFonts w:eastAsia="Times New Roman"/>
          <w:sz w:val="22"/>
          <w:lang w:val="fr-CH" w:eastAsia="de-DE"/>
        </w:rPr>
        <w:t xml:space="preserve"> </w:t>
      </w:r>
      <w:proofErr w:type="spellStart"/>
      <w:r w:rsidR="006857A7" w:rsidRPr="006857A7">
        <w:rPr>
          <w:rFonts w:eastAsia="Times New Roman"/>
          <w:i/>
          <w:iCs/>
          <w:sz w:val="22"/>
          <w:lang w:val="fr-CH" w:eastAsia="de-DE"/>
        </w:rPr>
        <w:t>Level</w:t>
      </w:r>
      <w:proofErr w:type="spellEnd"/>
      <w:r w:rsidR="006857A7" w:rsidRPr="006857A7">
        <w:rPr>
          <w:rFonts w:eastAsia="Times New Roman"/>
          <w:i/>
          <w:iCs/>
          <w:sz w:val="22"/>
          <w:lang w:val="fr-CH" w:eastAsia="de-DE"/>
        </w:rPr>
        <w:t xml:space="preserve"> 1 Limited Supervision</w:t>
      </w:r>
      <w:r w:rsidR="006857A7" w:rsidRPr="006857A7">
        <w:rPr>
          <w:rFonts w:eastAsia="Times New Roman"/>
          <w:sz w:val="22"/>
          <w:lang w:val="fr-CH" w:eastAsia="de-DE"/>
        </w:rPr>
        <w:t xml:space="preserve"> ou </w:t>
      </w:r>
      <w:proofErr w:type="spellStart"/>
      <w:r w:rsidR="006857A7" w:rsidRPr="006857A7">
        <w:rPr>
          <w:rFonts w:eastAsia="Times New Roman"/>
          <w:i/>
          <w:iCs/>
          <w:sz w:val="22"/>
          <w:lang w:val="fr-CH" w:eastAsia="de-DE"/>
        </w:rPr>
        <w:t>Level</w:t>
      </w:r>
      <w:proofErr w:type="spellEnd"/>
      <w:r w:rsidR="006857A7" w:rsidRPr="006857A7">
        <w:rPr>
          <w:rFonts w:eastAsia="Times New Roman"/>
          <w:i/>
          <w:iCs/>
          <w:sz w:val="22"/>
          <w:lang w:val="fr-CH" w:eastAsia="de-DE"/>
        </w:rPr>
        <w:t xml:space="preserve"> 2</w:t>
      </w:r>
      <w:r w:rsidR="006857A7" w:rsidRPr="006857A7">
        <w:rPr>
          <w:rFonts w:eastAsia="Times New Roman"/>
          <w:sz w:val="22"/>
          <w:lang w:val="fr-CH" w:eastAsia="de-DE"/>
        </w:rPr>
        <w:t xml:space="preserve">. Elle assure le maintien du savoir-faire nécessaire à cet effet et assume la responsabilité de la coordination technique et opérationnelle entre </w:t>
      </w:r>
      <w:r w:rsidR="006857A7">
        <w:rPr>
          <w:rFonts w:eastAsia="Times New Roman"/>
          <w:sz w:val="22"/>
          <w:lang w:val="fr-CH" w:eastAsia="de-DE"/>
        </w:rPr>
        <w:t xml:space="preserve">les GI </w:t>
      </w:r>
      <w:r w:rsidR="006857A7" w:rsidRPr="006857A7">
        <w:rPr>
          <w:rFonts w:eastAsia="Times New Roman"/>
          <w:sz w:val="22"/>
          <w:lang w:val="fr-CH" w:eastAsia="de-DE"/>
        </w:rPr>
        <w:t>et l</w:t>
      </w:r>
      <w:r w:rsidR="006857A7">
        <w:rPr>
          <w:rFonts w:eastAsia="Times New Roman"/>
          <w:sz w:val="22"/>
          <w:lang w:val="fr-CH" w:eastAsia="de-DE"/>
        </w:rPr>
        <w:t xml:space="preserve">es </w:t>
      </w:r>
      <w:r w:rsidR="006857A7" w:rsidRPr="006857A7">
        <w:rPr>
          <w:rFonts w:eastAsia="Times New Roman"/>
          <w:sz w:val="22"/>
          <w:lang w:val="fr-CH" w:eastAsia="de-DE"/>
        </w:rPr>
        <w:t>E</w:t>
      </w:r>
      <w:r w:rsidR="006857A7">
        <w:rPr>
          <w:rFonts w:eastAsia="Times New Roman"/>
          <w:sz w:val="22"/>
          <w:lang w:val="fr-CH" w:eastAsia="de-DE"/>
        </w:rPr>
        <w:t>T</w:t>
      </w:r>
      <w:r w:rsidR="006857A7" w:rsidRPr="006857A7">
        <w:rPr>
          <w:rFonts w:eastAsia="Times New Roman"/>
          <w:sz w:val="22"/>
          <w:lang w:val="fr-CH" w:eastAsia="de-DE"/>
        </w:rPr>
        <w:t>F. Sur le réseau interopérable, l</w:t>
      </w:r>
      <w:r w:rsidR="006857A7">
        <w:rPr>
          <w:rFonts w:eastAsia="Times New Roman"/>
          <w:sz w:val="22"/>
          <w:lang w:val="fr-CH" w:eastAsia="de-DE"/>
        </w:rPr>
        <w:t>’</w:t>
      </w:r>
      <w:r w:rsidR="006857A7" w:rsidRPr="006857A7">
        <w:rPr>
          <w:rFonts w:eastAsia="Times New Roman"/>
          <w:sz w:val="22"/>
          <w:lang w:val="fr-CH" w:eastAsia="de-DE"/>
        </w:rPr>
        <w:t xml:space="preserve">entreprise </w:t>
      </w:r>
      <w:r w:rsidR="006857A7">
        <w:rPr>
          <w:rFonts w:eastAsia="Times New Roman"/>
          <w:sz w:val="22"/>
          <w:lang w:val="fr-CH" w:eastAsia="de-DE"/>
        </w:rPr>
        <w:t>applique</w:t>
      </w:r>
      <w:r w:rsidR="006857A7" w:rsidRPr="006857A7">
        <w:rPr>
          <w:rFonts w:eastAsia="Times New Roman"/>
          <w:sz w:val="22"/>
          <w:lang w:val="fr-CH" w:eastAsia="de-DE"/>
        </w:rPr>
        <w:t xml:space="preserve"> la stratégie ERTMS. Lors de la planification des renouvellements, </w:t>
      </w:r>
      <w:r w:rsidR="006857A7">
        <w:rPr>
          <w:rFonts w:eastAsia="Times New Roman"/>
          <w:sz w:val="22"/>
          <w:lang w:val="fr-CH" w:eastAsia="de-DE"/>
        </w:rPr>
        <w:t xml:space="preserve">il </w:t>
      </w:r>
      <w:r w:rsidR="005F4994">
        <w:rPr>
          <w:rFonts w:eastAsia="Times New Roman"/>
          <w:sz w:val="22"/>
          <w:lang w:val="fr-CH" w:eastAsia="de-DE"/>
        </w:rPr>
        <w:t>y a lieu</w:t>
      </w:r>
      <w:r w:rsidR="006857A7">
        <w:rPr>
          <w:rFonts w:eastAsia="Times New Roman"/>
          <w:sz w:val="22"/>
          <w:lang w:val="fr-CH" w:eastAsia="de-DE"/>
        </w:rPr>
        <w:t xml:space="preserve"> en outre d’adopter </w:t>
      </w:r>
      <w:r w:rsidR="006857A7" w:rsidRPr="006857A7">
        <w:rPr>
          <w:rFonts w:eastAsia="Times New Roman"/>
          <w:sz w:val="22"/>
          <w:lang w:val="fr-CH" w:eastAsia="de-DE"/>
        </w:rPr>
        <w:t>une vision globale supérieure pour mettre en œuvre la stratégie ERTMS.</w:t>
      </w:r>
    </w:p>
    <w:p w14:paraId="08B930EB" w14:textId="66ACAD37" w:rsidR="004D2869" w:rsidRPr="004D2869" w:rsidRDefault="006857A7" w:rsidP="004D2869">
      <w:pPr>
        <w:spacing w:before="80" w:line="240" w:lineRule="auto"/>
        <w:jc w:val="both"/>
        <w:rPr>
          <w:rFonts w:eastAsia="Times New Roman"/>
          <w:sz w:val="22"/>
          <w:lang w:val="fr-CH" w:eastAsia="de-DE"/>
        </w:rPr>
      </w:pPr>
      <w:r w:rsidRPr="006857A7">
        <w:rPr>
          <w:rFonts w:eastAsia="Times New Roman"/>
          <w:sz w:val="22"/>
          <w:vertAlign w:val="superscript"/>
          <w:lang w:val="fr-CH" w:eastAsia="de-DE"/>
        </w:rPr>
        <w:t>5</w:t>
      </w:r>
      <w:proofErr w:type="gramStart"/>
      <w:r w:rsidRPr="006857A7">
        <w:rPr>
          <w:rFonts w:eastAsia="Times New Roman"/>
          <w:sz w:val="22"/>
          <w:vertAlign w:val="superscript"/>
          <w:lang w:val="fr-CH" w:eastAsia="de-DE"/>
        </w:rPr>
        <w:t>°</w:t>
      </w:r>
      <w:r w:rsidR="004D2869" w:rsidRPr="004D2869">
        <w:rPr>
          <w:rFonts w:eastAsia="Times New Roman"/>
          <w:sz w:val="22"/>
          <w:lang w:val="fr-CH" w:eastAsia="de-DE"/>
        </w:rPr>
        <w:t>[</w:t>
      </w:r>
      <w:proofErr w:type="gramEnd"/>
      <w:r w:rsidR="004D2869" w:rsidRPr="004D2869">
        <w:rPr>
          <w:rFonts w:eastAsia="Times New Roman"/>
          <w:sz w:val="22"/>
          <w:lang w:val="fr-CH" w:eastAsia="de-DE"/>
        </w:rPr>
        <w:t>Seulement pour AVA</w:t>
      </w:r>
      <w:r>
        <w:rPr>
          <w:rFonts w:eastAsia="Times New Roman"/>
          <w:sz w:val="22"/>
          <w:lang w:val="fr-CH" w:eastAsia="de-DE"/>
        </w:rPr>
        <w:t xml:space="preserve"> sur le tronçon anc. WSB</w:t>
      </w:r>
      <w:r w:rsidR="004D2869" w:rsidRPr="004D2869">
        <w:rPr>
          <w:rFonts w:eastAsia="Times New Roman"/>
          <w:sz w:val="22"/>
          <w:lang w:val="fr-CH" w:eastAsia="de-DE"/>
        </w:rPr>
        <w:t xml:space="preserve">, RBS et FB] Le réseau de l’entreprise est équipé de ZSL-90. Son adaptation en vue d’une poursuite de l’exploitation suit les prescriptions spécifiques de l’OFT en collaboration avec Aargau </w:t>
      </w:r>
      <w:proofErr w:type="spellStart"/>
      <w:r w:rsidR="004D2869" w:rsidRPr="004D2869">
        <w:rPr>
          <w:rFonts w:eastAsia="Times New Roman"/>
          <w:sz w:val="22"/>
          <w:lang w:val="fr-CH" w:eastAsia="de-DE"/>
        </w:rPr>
        <w:t>Verkehr</w:t>
      </w:r>
      <w:proofErr w:type="spellEnd"/>
      <w:r w:rsidR="004D2869" w:rsidRPr="004D2869">
        <w:rPr>
          <w:rFonts w:eastAsia="Times New Roman"/>
          <w:sz w:val="22"/>
          <w:lang w:val="fr-CH" w:eastAsia="de-DE"/>
        </w:rPr>
        <w:t xml:space="preserve"> AG AVA, </w:t>
      </w:r>
      <w:proofErr w:type="spellStart"/>
      <w:r w:rsidR="004D2869" w:rsidRPr="004D2869">
        <w:rPr>
          <w:rFonts w:eastAsia="Times New Roman"/>
          <w:sz w:val="22"/>
          <w:lang w:val="fr-CH" w:eastAsia="de-DE"/>
        </w:rPr>
        <w:t>Regionalverkehr</w:t>
      </w:r>
      <w:proofErr w:type="spellEnd"/>
      <w:r w:rsidR="004D2869" w:rsidRPr="004D2869">
        <w:rPr>
          <w:rFonts w:eastAsia="Times New Roman"/>
          <w:sz w:val="22"/>
          <w:lang w:val="fr-CH" w:eastAsia="de-DE"/>
        </w:rPr>
        <w:t xml:space="preserve"> Bern-Solothurn (</w:t>
      </w:r>
      <w:proofErr w:type="spellStart"/>
      <w:r w:rsidR="004D2869" w:rsidRPr="004D2869">
        <w:rPr>
          <w:rFonts w:eastAsia="Times New Roman"/>
          <w:sz w:val="22"/>
          <w:lang w:val="fr-CH" w:eastAsia="de-DE"/>
        </w:rPr>
        <w:t>RBS</w:t>
      </w:r>
      <w:proofErr w:type="spellEnd"/>
      <w:r w:rsidR="004D2869" w:rsidRPr="004D2869">
        <w:rPr>
          <w:rFonts w:eastAsia="Times New Roman"/>
          <w:sz w:val="22"/>
          <w:lang w:val="fr-CH" w:eastAsia="de-DE"/>
        </w:rPr>
        <w:t xml:space="preserve">) et </w:t>
      </w:r>
      <w:proofErr w:type="spellStart"/>
      <w:r w:rsidR="004D2869" w:rsidRPr="004D2869">
        <w:rPr>
          <w:rFonts w:eastAsia="Times New Roman"/>
          <w:sz w:val="22"/>
          <w:lang w:val="fr-CH" w:eastAsia="de-DE"/>
        </w:rPr>
        <w:t>Forchbahn</w:t>
      </w:r>
      <w:proofErr w:type="spellEnd"/>
      <w:r w:rsidR="004D2869" w:rsidRPr="004D2869">
        <w:rPr>
          <w:rFonts w:eastAsia="Times New Roman"/>
          <w:sz w:val="22"/>
          <w:lang w:val="fr-CH" w:eastAsia="de-DE"/>
        </w:rPr>
        <w:t xml:space="preserve"> (FB).</w:t>
      </w:r>
    </w:p>
    <w:p w14:paraId="43965095" w14:textId="0F9071C7"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6 </w:t>
      </w:r>
      <w:r w:rsidRPr="004D2869">
        <w:rPr>
          <w:rFonts w:eastAsia="Times New Roman"/>
          <w:sz w:val="22"/>
          <w:lang w:val="fr-CH" w:eastAsia="de-DE"/>
        </w:rPr>
        <w:t xml:space="preserve">[Chemins de fer à voie métrique sauf BLT, TRN (tronçon Boudry–Neuchâtel Place </w:t>
      </w:r>
      <w:proofErr w:type="spellStart"/>
      <w:r w:rsidRPr="004D2869">
        <w:rPr>
          <w:rFonts w:eastAsia="Times New Roman"/>
          <w:sz w:val="22"/>
          <w:lang w:val="fr-CH" w:eastAsia="de-DE"/>
        </w:rPr>
        <w:t>Pury</w:t>
      </w:r>
      <w:proofErr w:type="spellEnd"/>
      <w:r w:rsidRPr="004D2869">
        <w:rPr>
          <w:rFonts w:eastAsia="Times New Roman"/>
          <w:sz w:val="22"/>
          <w:lang w:val="fr-CH" w:eastAsia="de-DE"/>
        </w:rPr>
        <w:t xml:space="preserve">), FB, </w:t>
      </w:r>
      <w:proofErr w:type="spellStart"/>
      <w:r w:rsidRPr="004D2869">
        <w:rPr>
          <w:rFonts w:eastAsia="Times New Roman"/>
          <w:sz w:val="22"/>
          <w:lang w:val="fr-CH" w:eastAsia="de-DE"/>
        </w:rPr>
        <w:t>RBS</w:t>
      </w:r>
      <w:proofErr w:type="spellEnd"/>
      <w:r w:rsidRPr="004D2869">
        <w:rPr>
          <w:rFonts w:eastAsia="Times New Roman"/>
          <w:sz w:val="22"/>
          <w:lang w:val="fr-CH" w:eastAsia="de-DE"/>
        </w:rPr>
        <w:t xml:space="preserve"> (tronçon Berne–</w:t>
      </w:r>
      <w:proofErr w:type="spellStart"/>
      <w:r w:rsidRPr="004D2869">
        <w:rPr>
          <w:rFonts w:eastAsia="Times New Roman"/>
          <w:sz w:val="22"/>
          <w:lang w:val="fr-CH" w:eastAsia="de-DE"/>
        </w:rPr>
        <w:t>Gümligen</w:t>
      </w:r>
      <w:proofErr w:type="spellEnd"/>
      <w:r w:rsidRPr="004D2869">
        <w:rPr>
          <w:rFonts w:eastAsia="Times New Roman"/>
          <w:sz w:val="22"/>
          <w:lang w:val="fr-CH" w:eastAsia="de-DE"/>
        </w:rPr>
        <w:t xml:space="preserve">–Worb)] L’entreprise veille à ce que les certificats attestant de la sécurité structurale des nouveaux ouvrages d’art et des nouvelles composantes d’ouvrages d’art sur son réseau soient établis en respectant les coefficients suivants relatifs à la </w:t>
      </w:r>
      <w:r w:rsidRPr="004D2869">
        <w:rPr>
          <w:rFonts w:eastAsia="Times New Roman"/>
          <w:sz w:val="22"/>
          <w:lang w:val="fr-CH" w:eastAsia="de-DE"/>
        </w:rPr>
        <w:lastRenderedPageBreak/>
        <w:t>classification des modèles de charges normalisés</w:t>
      </w:r>
      <w:r w:rsidR="006857A7">
        <w:rPr>
          <w:rFonts w:eastAsia="Times New Roman"/>
          <w:sz w:val="22"/>
          <w:lang w:val="fr-CH" w:eastAsia="de-DE"/>
        </w:rPr>
        <w:t> </w:t>
      </w:r>
      <w:r w:rsidRPr="004D2869">
        <w:rPr>
          <w:rFonts w:eastAsia="Times New Roman"/>
          <w:sz w:val="22"/>
          <w:lang w:val="fr-CH" w:eastAsia="de-DE"/>
        </w:rPr>
        <w:t>: modèles de charge 4 et 7, α = 1</w:t>
      </w:r>
      <w:r w:rsidR="000E128F">
        <w:rPr>
          <w:rFonts w:eastAsia="Times New Roman"/>
          <w:sz w:val="22"/>
          <w:lang w:val="fr-CH" w:eastAsia="de-DE"/>
        </w:rPr>
        <w:t>,</w:t>
      </w:r>
      <w:r w:rsidRPr="004D2869">
        <w:rPr>
          <w:rFonts w:eastAsia="Times New Roman"/>
          <w:sz w:val="22"/>
          <w:lang w:val="fr-CH" w:eastAsia="de-DE"/>
        </w:rPr>
        <w:t>0, cas de charge 5 et 6, α = 1</w:t>
      </w:r>
      <w:r w:rsidR="000E128F">
        <w:rPr>
          <w:rFonts w:eastAsia="Times New Roman"/>
          <w:sz w:val="22"/>
          <w:lang w:val="fr-CH" w:eastAsia="de-DE"/>
        </w:rPr>
        <w:t>,</w:t>
      </w:r>
      <w:r w:rsidRPr="004D2869">
        <w:rPr>
          <w:rFonts w:eastAsia="Times New Roman"/>
          <w:sz w:val="22"/>
          <w:lang w:val="fr-CH" w:eastAsia="de-DE"/>
        </w:rPr>
        <w:t>13.</w:t>
      </w:r>
    </w:p>
    <w:p w14:paraId="789E3A38" w14:textId="3369A1C1"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7 </w:t>
      </w:r>
      <w:r w:rsidRPr="004D2869">
        <w:rPr>
          <w:rFonts w:eastAsia="Times New Roman"/>
          <w:sz w:val="22"/>
          <w:lang w:val="fr-CH" w:eastAsia="de-DE"/>
        </w:rPr>
        <w:t>[Chemins de fer à voie métrique] Lors du développement de son réseau à voie métrique, l’entreprise veillera à permettre l’utilisation de profils de roues et de branchements (RTE 29500) qui répondent aux normes de l’UTP et à choisir un profil d’espace libre A [ou B pour tronçons avec exploitation par trucks porteurs / wagons à traverse pivotante] conforme à l’art.</w:t>
      </w:r>
      <w:r w:rsidR="000E128F">
        <w:rPr>
          <w:rFonts w:eastAsia="Times New Roman"/>
          <w:sz w:val="22"/>
          <w:lang w:val="fr-CH" w:eastAsia="de-DE"/>
        </w:rPr>
        <w:t> </w:t>
      </w:r>
      <w:r w:rsidRPr="004D2869">
        <w:rPr>
          <w:rFonts w:eastAsia="Times New Roman"/>
          <w:sz w:val="22"/>
          <w:lang w:val="fr-CH" w:eastAsia="de-DE"/>
        </w:rPr>
        <w:t>18 des dispositions d’exécution du 15</w:t>
      </w:r>
      <w:r w:rsidR="000E128F">
        <w:rPr>
          <w:rFonts w:eastAsia="Times New Roman"/>
          <w:sz w:val="22"/>
          <w:lang w:val="fr-CH" w:eastAsia="de-DE"/>
        </w:rPr>
        <w:t> </w:t>
      </w:r>
      <w:r w:rsidRPr="004D2869">
        <w:rPr>
          <w:rFonts w:eastAsia="Times New Roman"/>
          <w:sz w:val="22"/>
          <w:lang w:val="fr-CH" w:eastAsia="de-DE"/>
        </w:rPr>
        <w:t>décembre</w:t>
      </w:r>
      <w:r w:rsidR="000E128F">
        <w:rPr>
          <w:rFonts w:eastAsia="Times New Roman"/>
          <w:sz w:val="22"/>
          <w:lang w:val="fr-CH" w:eastAsia="de-DE"/>
        </w:rPr>
        <w:t> </w:t>
      </w:r>
      <w:r w:rsidRPr="004D2869">
        <w:rPr>
          <w:rFonts w:eastAsia="Times New Roman"/>
          <w:sz w:val="22"/>
          <w:lang w:val="fr-CH" w:eastAsia="de-DE"/>
        </w:rPr>
        <w:t>1983 de l’ordonnance sur les chemins de fer (DE-OCF</w:t>
      </w:r>
      <w:r w:rsidR="000E128F">
        <w:rPr>
          <w:rFonts w:eastAsia="Times New Roman"/>
          <w:sz w:val="22"/>
          <w:lang w:val="fr-CH" w:eastAsia="de-DE"/>
        </w:rPr>
        <w:t> </w:t>
      </w:r>
      <w:r w:rsidRPr="004D2869">
        <w:rPr>
          <w:rFonts w:eastAsia="Times New Roman"/>
          <w:sz w:val="22"/>
          <w:lang w:val="fr-CH" w:eastAsia="de-DE"/>
        </w:rPr>
        <w:t>; RS </w:t>
      </w:r>
      <w:r w:rsidRPr="004D2869">
        <w:rPr>
          <w:rFonts w:eastAsia="Times New Roman"/>
          <w:i/>
          <w:iCs/>
          <w:sz w:val="22"/>
          <w:lang w:val="fr-CH" w:eastAsia="de-DE"/>
        </w:rPr>
        <w:t>742.141.11</w:t>
      </w:r>
      <w:r w:rsidRPr="004D2869">
        <w:rPr>
          <w:rFonts w:eastAsia="Times New Roman"/>
          <w:sz w:val="22"/>
          <w:lang w:val="fr-CH" w:eastAsia="de-DE"/>
        </w:rPr>
        <w:t>). Les véhicules de service nouvellement acquis disposent de freins à air comprimé (5</w:t>
      </w:r>
      <w:r w:rsidR="000E128F">
        <w:rPr>
          <w:rFonts w:eastAsia="Times New Roman"/>
          <w:sz w:val="22"/>
          <w:lang w:val="fr-CH" w:eastAsia="de-DE"/>
        </w:rPr>
        <w:t> </w:t>
      </w:r>
      <w:proofErr w:type="gramStart"/>
      <w:r w:rsidRPr="004D2869">
        <w:rPr>
          <w:rFonts w:eastAsia="Times New Roman"/>
          <w:sz w:val="22"/>
          <w:lang w:val="fr-CH" w:eastAsia="de-DE"/>
        </w:rPr>
        <w:t>bar</w:t>
      </w:r>
      <w:proofErr w:type="gramEnd"/>
      <w:r w:rsidRPr="004D2869">
        <w:rPr>
          <w:rFonts w:eastAsia="Times New Roman"/>
          <w:sz w:val="22"/>
          <w:lang w:val="fr-CH" w:eastAsia="de-DE"/>
        </w:rPr>
        <w:t>) ainsi que d’attelages semi-automatiques (620 à 650</w:t>
      </w:r>
      <w:r w:rsidR="000E128F">
        <w:rPr>
          <w:rFonts w:eastAsia="Times New Roman"/>
          <w:sz w:val="22"/>
          <w:lang w:val="fr-CH" w:eastAsia="de-DE"/>
        </w:rPr>
        <w:t> </w:t>
      </w:r>
      <w:r w:rsidRPr="004D2869">
        <w:rPr>
          <w:rFonts w:eastAsia="Times New Roman"/>
          <w:sz w:val="22"/>
          <w:lang w:val="fr-CH" w:eastAsia="de-DE"/>
        </w:rPr>
        <w:t xml:space="preserve">mm au-dessus du niveau supérieur du rail) et les véhicules de services déjà existant doivent être adaptés dans la mesure du possible. </w:t>
      </w:r>
    </w:p>
    <w:p w14:paraId="692C6B3B" w14:textId="6B03D098"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8 </w:t>
      </w:r>
      <w:r w:rsidRPr="004D2869">
        <w:rPr>
          <w:rFonts w:eastAsia="Times New Roman"/>
          <w:sz w:val="22"/>
          <w:lang w:val="fr-CH" w:eastAsia="de-DE"/>
        </w:rPr>
        <w:t>[</w:t>
      </w:r>
      <w:r w:rsidR="000E128F">
        <w:rPr>
          <w:rFonts w:eastAsia="Times New Roman"/>
          <w:sz w:val="22"/>
          <w:lang w:val="fr-CH" w:eastAsia="de-DE"/>
        </w:rPr>
        <w:t xml:space="preserve">Réseau de tramway </w:t>
      </w:r>
      <w:r w:rsidRPr="004D2869">
        <w:rPr>
          <w:rFonts w:eastAsia="Times New Roman"/>
          <w:sz w:val="22"/>
          <w:lang w:val="fr-CH" w:eastAsia="de-DE"/>
        </w:rPr>
        <w:t>BLT, FB] Lors du perfectionnement de son réseau à voie métrique, l’entreprise veille à permettre l’utilisation de profils de roue C et à choisir un profil d’espace libre C conforme à l’art.</w:t>
      </w:r>
      <w:r w:rsidR="000E128F">
        <w:rPr>
          <w:rFonts w:eastAsia="Times New Roman"/>
          <w:sz w:val="22"/>
          <w:lang w:val="fr-CH" w:eastAsia="de-DE"/>
        </w:rPr>
        <w:t> </w:t>
      </w:r>
      <w:r w:rsidRPr="004D2869">
        <w:rPr>
          <w:rFonts w:eastAsia="Times New Roman"/>
          <w:sz w:val="22"/>
          <w:lang w:val="fr-CH" w:eastAsia="de-DE"/>
        </w:rPr>
        <w:t>18 DE-OCF.</w:t>
      </w:r>
    </w:p>
    <w:p w14:paraId="681A9E0F" w14:textId="503CCE59"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9 </w:t>
      </w:r>
      <w:r w:rsidRPr="004D2869">
        <w:rPr>
          <w:rFonts w:eastAsia="Times New Roman"/>
          <w:sz w:val="22"/>
          <w:lang w:val="fr-CH" w:eastAsia="de-DE"/>
        </w:rPr>
        <w:t>[</w:t>
      </w:r>
      <w:r w:rsidR="00F26E9F">
        <w:rPr>
          <w:rFonts w:eastAsia="Times New Roman"/>
          <w:sz w:val="22"/>
          <w:lang w:val="fr-CH" w:eastAsia="de-DE"/>
        </w:rPr>
        <w:t xml:space="preserve">Chemins de fer à voie étroite ou sur des tronçons non interopérables] </w:t>
      </w:r>
      <w:r w:rsidRPr="004D2869">
        <w:rPr>
          <w:rFonts w:eastAsia="Times New Roman"/>
          <w:sz w:val="22"/>
          <w:lang w:val="fr-CH" w:eastAsia="de-DE"/>
        </w:rPr>
        <w:t>Les projets relatifs au contrôle de la marche des trains présentés à l’OFT conformément à son courrier du 1</w:t>
      </w:r>
      <w:r w:rsidRPr="004D2869">
        <w:rPr>
          <w:rFonts w:eastAsia="Times New Roman"/>
          <w:sz w:val="22"/>
          <w:vertAlign w:val="superscript"/>
          <w:lang w:val="fr-CH" w:eastAsia="de-DE"/>
        </w:rPr>
        <w:t>er</w:t>
      </w:r>
      <w:r w:rsidR="00F26E9F">
        <w:rPr>
          <w:rFonts w:eastAsia="Times New Roman"/>
          <w:sz w:val="22"/>
          <w:lang w:val="fr-CH" w:eastAsia="de-DE"/>
        </w:rPr>
        <w:t> </w:t>
      </w:r>
      <w:r w:rsidRPr="004D2869">
        <w:rPr>
          <w:rFonts w:eastAsia="Times New Roman"/>
          <w:sz w:val="22"/>
          <w:lang w:val="fr-CH" w:eastAsia="de-DE"/>
        </w:rPr>
        <w:t>juillet</w:t>
      </w:r>
      <w:r w:rsidR="00F26E9F">
        <w:rPr>
          <w:rFonts w:eastAsia="Times New Roman"/>
          <w:sz w:val="22"/>
          <w:lang w:val="fr-CH" w:eastAsia="de-DE"/>
        </w:rPr>
        <w:t> </w:t>
      </w:r>
      <w:r w:rsidRPr="004D2869">
        <w:rPr>
          <w:rFonts w:eastAsia="Times New Roman"/>
          <w:sz w:val="22"/>
          <w:lang w:val="fr-CH" w:eastAsia="de-DE"/>
        </w:rPr>
        <w:t>2013 concernant le standard national en matière de contrôle de la marche des trains sont réalisés ou en cours de réalisation, en tenant compte du standard «</w:t>
      </w:r>
      <w:r w:rsidR="00F26E9F">
        <w:rPr>
          <w:rFonts w:eastAsia="Times New Roman"/>
          <w:sz w:val="22"/>
          <w:lang w:val="fr-CH" w:eastAsia="de-DE"/>
        </w:rPr>
        <w:t> </w:t>
      </w:r>
      <w:r w:rsidRPr="004D2869">
        <w:rPr>
          <w:rFonts w:eastAsia="Times New Roman"/>
          <w:sz w:val="22"/>
          <w:lang w:val="fr-CH" w:eastAsia="de-DE"/>
        </w:rPr>
        <w:t>contrôle de la marche des trains voie métrique (ZBMS)</w:t>
      </w:r>
      <w:r w:rsidR="00F26E9F">
        <w:rPr>
          <w:rFonts w:eastAsia="Times New Roman"/>
          <w:sz w:val="22"/>
          <w:lang w:val="fr-CH" w:eastAsia="de-DE"/>
        </w:rPr>
        <w:t> </w:t>
      </w:r>
      <w:r w:rsidRPr="004D2869">
        <w:rPr>
          <w:rFonts w:eastAsia="Times New Roman"/>
          <w:sz w:val="22"/>
          <w:lang w:val="fr-CH" w:eastAsia="de-DE"/>
        </w:rPr>
        <w:t xml:space="preserve">». En cas de modification des conditions-cadre, ils font l’objet d’une vérification et, le cas échéant, d’adaptations. </w:t>
      </w:r>
    </w:p>
    <w:p w14:paraId="602E874E" w14:textId="301CA908" w:rsidR="004D2869" w:rsidRPr="004D2869" w:rsidRDefault="004D2869" w:rsidP="004D2869">
      <w:pPr>
        <w:spacing w:before="80" w:line="240" w:lineRule="auto"/>
        <w:jc w:val="both"/>
        <w:rPr>
          <w:rFonts w:eastAsia="Times New Roman"/>
          <w:sz w:val="22"/>
          <w:lang w:val="fr-CH" w:eastAsia="de-DE"/>
        </w:rPr>
      </w:pPr>
      <w:r w:rsidRPr="004D2869">
        <w:rPr>
          <w:rFonts w:eastAsia="Times New Roman"/>
          <w:sz w:val="22"/>
          <w:vertAlign w:val="superscript"/>
          <w:lang w:val="fr-CH" w:eastAsia="de-DE"/>
        </w:rPr>
        <w:t>10 </w:t>
      </w:r>
      <w:r w:rsidRPr="004D2869">
        <w:rPr>
          <w:rFonts w:eastAsia="Times New Roman"/>
          <w:sz w:val="22"/>
          <w:lang w:val="fr-CH" w:eastAsia="de-DE"/>
        </w:rPr>
        <w:t xml:space="preserve">[Uniquement CFF] </w:t>
      </w:r>
      <w:r w:rsidR="00F26E9F">
        <w:rPr>
          <w:rFonts w:eastAsia="Times New Roman"/>
          <w:sz w:val="22"/>
          <w:lang w:val="fr-CH" w:eastAsia="de-DE"/>
        </w:rPr>
        <w:t>L’entreprise</w:t>
      </w:r>
      <w:r w:rsidRPr="004D2869">
        <w:rPr>
          <w:rFonts w:eastAsia="Times New Roman"/>
          <w:sz w:val="22"/>
          <w:lang w:val="fr-CH" w:eastAsia="de-DE"/>
        </w:rPr>
        <w:t xml:space="preserve"> exploite et développe le réseau </w:t>
      </w:r>
      <w:r w:rsidR="00F26E9F">
        <w:rPr>
          <w:rFonts w:eastAsia="Times New Roman"/>
          <w:sz w:val="22"/>
          <w:lang w:val="fr-CH" w:eastAsia="de-DE"/>
        </w:rPr>
        <w:t xml:space="preserve">de radio ferroviaire </w:t>
      </w:r>
      <w:r w:rsidRPr="004D2869">
        <w:rPr>
          <w:rFonts w:eastAsia="Times New Roman"/>
          <w:sz w:val="22"/>
          <w:lang w:val="fr-CH" w:eastAsia="de-DE"/>
        </w:rPr>
        <w:t xml:space="preserve">suisse. </w:t>
      </w:r>
      <w:r w:rsidR="00F26E9F">
        <w:rPr>
          <w:rFonts w:eastAsia="Times New Roman"/>
          <w:sz w:val="22"/>
          <w:lang w:val="fr-CH" w:eastAsia="de-DE"/>
        </w:rPr>
        <w:t>(</w:t>
      </w:r>
      <w:r w:rsidR="00F26E9F" w:rsidRPr="00F26E9F">
        <w:rPr>
          <w:rFonts w:eastAsia="Times New Roman"/>
          <w:sz w:val="22"/>
          <w:lang w:val="fr-CH" w:eastAsia="de-DE"/>
        </w:rPr>
        <w:t>GSM-R</w:t>
      </w:r>
      <w:r w:rsidR="00F26E9F">
        <w:rPr>
          <w:rFonts w:eastAsia="Times New Roman"/>
          <w:sz w:val="22"/>
          <w:lang w:val="fr-CH" w:eastAsia="de-DE"/>
        </w:rPr>
        <w:t xml:space="preserve"> ou FRMCS).</w:t>
      </w:r>
      <w:r w:rsidRPr="004D2869">
        <w:rPr>
          <w:rFonts w:eastAsia="Times New Roman"/>
          <w:sz w:val="22"/>
          <w:lang w:val="fr-CH" w:eastAsia="de-DE"/>
        </w:rPr>
        <w:t xml:space="preserve"> En sa qualité de gestionnaire du système</w:t>
      </w:r>
      <w:r w:rsidR="00F26E9F">
        <w:rPr>
          <w:rFonts w:eastAsia="Times New Roman"/>
          <w:sz w:val="22"/>
          <w:lang w:val="fr-CH" w:eastAsia="de-DE"/>
        </w:rPr>
        <w:t xml:space="preserve"> </w:t>
      </w:r>
      <w:r w:rsidR="005F4994">
        <w:rPr>
          <w:rFonts w:eastAsia="Times New Roman"/>
          <w:sz w:val="22"/>
          <w:lang w:val="fr-CH" w:eastAsia="de-DE"/>
        </w:rPr>
        <w:t>C</w:t>
      </w:r>
      <w:r w:rsidR="00F26E9F">
        <w:rPr>
          <w:rFonts w:eastAsia="Times New Roman"/>
          <w:sz w:val="22"/>
          <w:lang w:val="fr-CH" w:eastAsia="de-DE"/>
        </w:rPr>
        <w:t>ommunication ferroviaire</w:t>
      </w:r>
      <w:r w:rsidRPr="004D2869">
        <w:rPr>
          <w:rFonts w:eastAsia="Times New Roman"/>
          <w:sz w:val="22"/>
          <w:lang w:val="fr-CH" w:eastAsia="de-DE"/>
        </w:rPr>
        <w:t xml:space="preserve">, elle assure l’interopérabilité avec les autres chemins de fer suisses et étrangers, elle contrôle et acquiert les terminaux </w:t>
      </w:r>
      <w:r w:rsidR="00F26E9F">
        <w:rPr>
          <w:rFonts w:eastAsia="Times New Roman"/>
          <w:sz w:val="22"/>
          <w:lang w:val="fr-CH" w:eastAsia="de-DE"/>
        </w:rPr>
        <w:t>de radio ferroviaire</w:t>
      </w:r>
      <w:r w:rsidRPr="004D2869">
        <w:rPr>
          <w:rFonts w:eastAsia="Times New Roman"/>
          <w:sz w:val="22"/>
          <w:lang w:val="fr-CH" w:eastAsia="de-DE"/>
        </w:rPr>
        <w:t xml:space="preserve"> et les rend accessibles aux autres GI de manière non discriminatoire. Elle planifie en temps utile l’introduction de la génération suivante de GSM-R et la coordonne avec l’OFT.</w:t>
      </w:r>
    </w:p>
    <w:p w14:paraId="2A37930C" w14:textId="0755DF49" w:rsidR="00D2749A" w:rsidRDefault="004D2869" w:rsidP="004D2869">
      <w:pPr>
        <w:autoSpaceDE w:val="0"/>
        <w:autoSpaceDN w:val="0"/>
        <w:adjustRightInd w:val="0"/>
        <w:spacing w:before="80" w:line="240" w:lineRule="auto"/>
        <w:jc w:val="both"/>
        <w:rPr>
          <w:rFonts w:eastAsia="Times New Roman"/>
          <w:sz w:val="22"/>
          <w:lang w:val="fr-CH" w:eastAsia="de-DE"/>
        </w:rPr>
      </w:pPr>
      <w:r w:rsidRPr="00BB4F04">
        <w:rPr>
          <w:rFonts w:eastAsia="Times New Roman"/>
          <w:sz w:val="22"/>
          <w:vertAlign w:val="superscript"/>
          <w:lang w:val="fr-CH" w:eastAsia="de-DE"/>
        </w:rPr>
        <w:t>11 </w:t>
      </w:r>
      <w:r w:rsidRPr="00BB4F04">
        <w:rPr>
          <w:rFonts w:eastAsia="Times New Roman"/>
          <w:sz w:val="22"/>
          <w:lang w:val="fr-CH" w:eastAsia="de-DE"/>
        </w:rPr>
        <w:t>Le respect de la législation sur l’environnement est vérifié lors du renouvellement et de l’entretien de l’infrastructure ferroviaire et les mesures nécessaires à la protection de l’environnement sont mises en œuvre (par ex. mesures de protection de l’eau ou contre le bruit de construction).</w:t>
      </w:r>
    </w:p>
    <w:p w14:paraId="007FA7C1" w14:textId="601173C7" w:rsidR="00F26E9F" w:rsidRPr="00F26E9F" w:rsidRDefault="00F26E9F" w:rsidP="00F26E9F">
      <w:pPr>
        <w:autoSpaceDE w:val="0"/>
        <w:autoSpaceDN w:val="0"/>
        <w:adjustRightInd w:val="0"/>
        <w:spacing w:before="80" w:line="240" w:lineRule="auto"/>
        <w:jc w:val="both"/>
        <w:rPr>
          <w:rFonts w:eastAsia="Times New Roman"/>
          <w:sz w:val="22"/>
          <w:lang w:val="fr-CH" w:eastAsia="de-DE"/>
        </w:rPr>
      </w:pPr>
      <w:r w:rsidRPr="00F26E9F">
        <w:rPr>
          <w:rFonts w:eastAsia="Times New Roman"/>
          <w:sz w:val="22"/>
          <w:vertAlign w:val="superscript"/>
          <w:lang w:val="fr-CH" w:eastAsia="de-DE"/>
        </w:rPr>
        <w:t>12</w:t>
      </w:r>
      <w:proofErr w:type="gramStart"/>
      <w:r>
        <w:rPr>
          <w:rFonts w:eastAsia="Times New Roman"/>
          <w:sz w:val="22"/>
          <w:lang w:val="fr-CH" w:eastAsia="de-DE"/>
        </w:rPr>
        <w:t>°</w:t>
      </w:r>
      <w:r w:rsidRPr="00F26E9F">
        <w:rPr>
          <w:rFonts w:eastAsia="Times New Roman"/>
          <w:sz w:val="22"/>
          <w:lang w:val="fr-CH" w:eastAsia="de-DE"/>
        </w:rPr>
        <w:t>[</w:t>
      </w:r>
      <w:proofErr w:type="gramEnd"/>
      <w:r w:rsidRPr="00F26E9F">
        <w:rPr>
          <w:rFonts w:eastAsia="Times New Roman"/>
          <w:sz w:val="22"/>
          <w:lang w:val="fr-CH" w:eastAsia="de-DE"/>
        </w:rPr>
        <w:t>uniquement pour les CFF] L</w:t>
      </w:r>
      <w:r w:rsidR="00F361B0">
        <w:rPr>
          <w:rFonts w:eastAsia="Times New Roman"/>
          <w:sz w:val="22"/>
          <w:lang w:val="fr-CH" w:eastAsia="de-DE"/>
        </w:rPr>
        <w:t>’</w:t>
      </w:r>
      <w:r w:rsidRPr="00F26E9F">
        <w:rPr>
          <w:rFonts w:eastAsia="Times New Roman"/>
          <w:sz w:val="22"/>
          <w:lang w:val="fr-CH" w:eastAsia="de-DE"/>
        </w:rPr>
        <w:t xml:space="preserve">entreprise met le </w:t>
      </w:r>
      <w:r w:rsidRPr="00F361B0">
        <w:rPr>
          <w:rFonts w:eastAsia="Times New Roman"/>
          <w:i/>
          <w:iCs/>
          <w:sz w:val="22"/>
          <w:lang w:val="fr-CH" w:eastAsia="de-DE"/>
        </w:rPr>
        <w:t>Traffic Management System</w:t>
      </w:r>
      <w:r w:rsidRPr="00F26E9F">
        <w:rPr>
          <w:rFonts w:eastAsia="Times New Roman"/>
          <w:sz w:val="22"/>
          <w:lang w:val="fr-CH" w:eastAsia="de-DE"/>
        </w:rPr>
        <w:t xml:space="preserve"> (TMS) à la disposition de tous les </w:t>
      </w:r>
      <w:r w:rsidR="00F361B0">
        <w:rPr>
          <w:rFonts w:eastAsia="Times New Roman"/>
          <w:sz w:val="22"/>
          <w:lang w:val="fr-CH" w:eastAsia="de-DE"/>
        </w:rPr>
        <w:t>GI</w:t>
      </w:r>
      <w:r w:rsidRPr="00F26E9F">
        <w:rPr>
          <w:rFonts w:eastAsia="Times New Roman"/>
          <w:sz w:val="22"/>
          <w:lang w:val="fr-CH" w:eastAsia="de-DE"/>
        </w:rPr>
        <w:t xml:space="preserve"> qui souhaitent </w:t>
      </w:r>
      <w:r w:rsidR="005F4994">
        <w:rPr>
          <w:rFonts w:eastAsia="Times New Roman"/>
          <w:sz w:val="22"/>
          <w:lang w:val="fr-CH" w:eastAsia="de-DE"/>
        </w:rPr>
        <w:t>l’</w:t>
      </w:r>
      <w:r w:rsidRPr="00F26E9F">
        <w:rPr>
          <w:rFonts w:eastAsia="Times New Roman"/>
          <w:sz w:val="22"/>
          <w:lang w:val="fr-CH" w:eastAsia="de-DE"/>
        </w:rPr>
        <w:t>utiliser et assure leur participation ainsi que la conception et l</w:t>
      </w:r>
      <w:r w:rsidR="00F361B0">
        <w:rPr>
          <w:rFonts w:eastAsia="Times New Roman"/>
          <w:sz w:val="22"/>
          <w:lang w:val="fr-CH" w:eastAsia="de-DE"/>
        </w:rPr>
        <w:t>’</w:t>
      </w:r>
      <w:r w:rsidRPr="00F26E9F">
        <w:rPr>
          <w:rFonts w:eastAsia="Times New Roman"/>
          <w:sz w:val="22"/>
          <w:lang w:val="fr-CH" w:eastAsia="de-DE"/>
        </w:rPr>
        <w:t>exploitation non discriminatoires du TMS. Ce faisant, l</w:t>
      </w:r>
      <w:r w:rsidR="00F361B0">
        <w:rPr>
          <w:rFonts w:eastAsia="Times New Roman"/>
          <w:sz w:val="22"/>
          <w:lang w:val="fr-CH" w:eastAsia="de-DE"/>
        </w:rPr>
        <w:t>’</w:t>
      </w:r>
      <w:r w:rsidRPr="00F26E9F">
        <w:rPr>
          <w:rFonts w:eastAsia="Times New Roman"/>
          <w:sz w:val="22"/>
          <w:lang w:val="fr-CH" w:eastAsia="de-DE"/>
        </w:rPr>
        <w:t xml:space="preserve">entreprise </w:t>
      </w:r>
      <w:r w:rsidR="00F361B0">
        <w:rPr>
          <w:rFonts w:eastAsia="Times New Roman"/>
          <w:sz w:val="22"/>
          <w:lang w:val="fr-CH" w:eastAsia="de-DE"/>
        </w:rPr>
        <w:t>simplifie autant que possible l’accès</w:t>
      </w:r>
      <w:r w:rsidRPr="00F26E9F">
        <w:rPr>
          <w:rFonts w:eastAsia="Times New Roman"/>
          <w:sz w:val="22"/>
          <w:lang w:val="fr-CH" w:eastAsia="de-DE"/>
        </w:rPr>
        <w:t>, en particulier pour les peti</w:t>
      </w:r>
      <w:r w:rsidR="00F361B0">
        <w:rPr>
          <w:rFonts w:eastAsia="Times New Roman"/>
          <w:sz w:val="22"/>
          <w:lang w:val="fr-CH" w:eastAsia="de-DE"/>
        </w:rPr>
        <w:t>t</w:t>
      </w:r>
      <w:r w:rsidRPr="00F26E9F">
        <w:rPr>
          <w:rFonts w:eastAsia="Times New Roman"/>
          <w:sz w:val="22"/>
          <w:lang w:val="fr-CH" w:eastAsia="de-DE"/>
        </w:rPr>
        <w:t xml:space="preserve"> </w:t>
      </w:r>
      <w:r w:rsidR="00F361B0">
        <w:rPr>
          <w:rFonts w:eastAsia="Times New Roman"/>
          <w:sz w:val="22"/>
          <w:lang w:val="fr-CH" w:eastAsia="de-DE"/>
        </w:rPr>
        <w:t>GI</w:t>
      </w:r>
      <w:r w:rsidRPr="00F26E9F">
        <w:rPr>
          <w:rFonts w:eastAsia="Times New Roman"/>
          <w:sz w:val="22"/>
          <w:lang w:val="fr-CH" w:eastAsia="de-DE"/>
        </w:rPr>
        <w:t xml:space="preserve"> (par ex</w:t>
      </w:r>
      <w:r w:rsidR="00F361B0">
        <w:rPr>
          <w:rFonts w:eastAsia="Times New Roman"/>
          <w:sz w:val="22"/>
          <w:lang w:val="fr-CH" w:eastAsia="de-DE"/>
        </w:rPr>
        <w:t>.</w:t>
      </w:r>
      <w:r w:rsidRPr="00F26E9F">
        <w:rPr>
          <w:rFonts w:eastAsia="Times New Roman"/>
          <w:sz w:val="22"/>
          <w:lang w:val="fr-CH" w:eastAsia="de-DE"/>
        </w:rPr>
        <w:t xml:space="preserve"> </w:t>
      </w:r>
      <w:r w:rsidR="00F361B0">
        <w:rPr>
          <w:rFonts w:eastAsia="Times New Roman"/>
          <w:sz w:val="22"/>
          <w:lang w:val="fr-CH" w:eastAsia="de-DE"/>
        </w:rPr>
        <w:t xml:space="preserve">via </w:t>
      </w:r>
      <w:r w:rsidRPr="00F26E9F">
        <w:rPr>
          <w:rFonts w:eastAsia="Times New Roman"/>
          <w:sz w:val="22"/>
          <w:lang w:val="fr-CH" w:eastAsia="de-DE"/>
        </w:rPr>
        <w:t>des offres de prestations modulaires). L</w:t>
      </w:r>
      <w:r w:rsidR="00F361B0">
        <w:rPr>
          <w:rFonts w:eastAsia="Times New Roman"/>
          <w:sz w:val="22"/>
          <w:lang w:val="fr-CH" w:eastAsia="de-DE"/>
        </w:rPr>
        <w:t>’</w:t>
      </w:r>
      <w:r w:rsidRPr="00F26E9F">
        <w:rPr>
          <w:rFonts w:eastAsia="Times New Roman"/>
          <w:sz w:val="22"/>
          <w:lang w:val="fr-CH" w:eastAsia="de-DE"/>
        </w:rPr>
        <w:t xml:space="preserve">entreprise veille à ce que les systèmes TMS puissent être </w:t>
      </w:r>
      <w:r w:rsidR="005F4994">
        <w:rPr>
          <w:rFonts w:eastAsia="Times New Roman"/>
          <w:sz w:val="22"/>
          <w:lang w:val="fr-CH" w:eastAsia="de-DE"/>
        </w:rPr>
        <w:t>séparés</w:t>
      </w:r>
      <w:r w:rsidRPr="00F26E9F">
        <w:rPr>
          <w:rFonts w:eastAsia="Times New Roman"/>
          <w:sz w:val="22"/>
          <w:lang w:val="fr-CH" w:eastAsia="de-DE"/>
        </w:rPr>
        <w:t xml:space="preserve"> le plus facilement possible de l</w:t>
      </w:r>
      <w:r w:rsidR="00C34285">
        <w:rPr>
          <w:rFonts w:eastAsia="Times New Roman"/>
          <w:sz w:val="22"/>
          <w:lang w:val="fr-CH" w:eastAsia="de-DE"/>
        </w:rPr>
        <w:t>’</w:t>
      </w:r>
      <w:r w:rsidRPr="00F26E9F">
        <w:rPr>
          <w:rFonts w:eastAsia="Times New Roman"/>
          <w:sz w:val="22"/>
          <w:lang w:val="fr-CH" w:eastAsia="de-DE"/>
        </w:rPr>
        <w:t>infrastructure des CFF en cas de besoin. Dans le cadre du rapport annuel, l</w:t>
      </w:r>
      <w:r w:rsidR="00C34285">
        <w:rPr>
          <w:rFonts w:eastAsia="Times New Roman"/>
          <w:sz w:val="22"/>
          <w:lang w:val="fr-CH" w:eastAsia="de-DE"/>
        </w:rPr>
        <w:t>’</w:t>
      </w:r>
      <w:r w:rsidRPr="00F26E9F">
        <w:rPr>
          <w:rFonts w:eastAsia="Times New Roman"/>
          <w:sz w:val="22"/>
          <w:lang w:val="fr-CH" w:eastAsia="de-DE"/>
        </w:rPr>
        <w:t xml:space="preserve">entreprise donne un aperçu des décisions prises par le </w:t>
      </w:r>
      <w:proofErr w:type="spellStart"/>
      <w:r w:rsidR="00C34285" w:rsidRPr="00C34285">
        <w:rPr>
          <w:rFonts w:eastAsia="Times New Roman"/>
          <w:i/>
          <w:iCs/>
          <w:sz w:val="22"/>
          <w:lang w:val="fr-CH" w:eastAsia="de-DE"/>
        </w:rPr>
        <w:t>c</w:t>
      </w:r>
      <w:r w:rsidRPr="00C34285">
        <w:rPr>
          <w:rFonts w:eastAsia="Times New Roman"/>
          <w:i/>
          <w:iCs/>
          <w:sz w:val="22"/>
          <w:lang w:val="fr-CH" w:eastAsia="de-DE"/>
        </w:rPr>
        <w:t>lusterboard</w:t>
      </w:r>
      <w:proofErr w:type="spellEnd"/>
      <w:r w:rsidRPr="00F26E9F">
        <w:rPr>
          <w:rFonts w:eastAsia="Times New Roman"/>
          <w:sz w:val="22"/>
          <w:lang w:val="fr-CH" w:eastAsia="de-DE"/>
        </w:rPr>
        <w:t xml:space="preserve"> (y c</w:t>
      </w:r>
      <w:r w:rsidR="005F4994">
        <w:rPr>
          <w:rFonts w:eastAsia="Times New Roman"/>
          <w:sz w:val="22"/>
          <w:lang w:val="fr-CH" w:eastAsia="de-DE"/>
        </w:rPr>
        <w:t>. </w:t>
      </w:r>
      <w:r w:rsidRPr="00F26E9F">
        <w:rPr>
          <w:rFonts w:eastAsia="Times New Roman"/>
          <w:sz w:val="22"/>
          <w:lang w:val="fr-CH" w:eastAsia="de-DE"/>
        </w:rPr>
        <w:t>si les décisions ont été prises par consensus) et présente l</w:t>
      </w:r>
      <w:r w:rsidR="00C34285">
        <w:rPr>
          <w:rFonts w:eastAsia="Times New Roman"/>
          <w:sz w:val="22"/>
          <w:lang w:val="fr-CH" w:eastAsia="de-DE"/>
        </w:rPr>
        <w:t>’</w:t>
      </w:r>
      <w:r w:rsidRPr="00F26E9F">
        <w:rPr>
          <w:rFonts w:eastAsia="Times New Roman"/>
          <w:sz w:val="22"/>
          <w:lang w:val="fr-CH" w:eastAsia="de-DE"/>
        </w:rPr>
        <w:t>état d</w:t>
      </w:r>
      <w:r w:rsidR="00C34285">
        <w:rPr>
          <w:rFonts w:eastAsia="Times New Roman"/>
          <w:sz w:val="22"/>
          <w:lang w:val="fr-CH" w:eastAsia="de-DE"/>
        </w:rPr>
        <w:t>’</w:t>
      </w:r>
      <w:r w:rsidRPr="00F26E9F">
        <w:rPr>
          <w:rFonts w:eastAsia="Times New Roman"/>
          <w:sz w:val="22"/>
          <w:lang w:val="fr-CH" w:eastAsia="de-DE"/>
        </w:rPr>
        <w:t xml:space="preserve">avancement ainsi que les éventuelles difficultés et divergences avec les </w:t>
      </w:r>
      <w:r w:rsidR="00C34285">
        <w:rPr>
          <w:rFonts w:eastAsia="Times New Roman"/>
          <w:sz w:val="22"/>
          <w:lang w:val="fr-CH" w:eastAsia="de-DE"/>
        </w:rPr>
        <w:t>GI</w:t>
      </w:r>
      <w:r w:rsidRPr="00F26E9F">
        <w:rPr>
          <w:rFonts w:eastAsia="Times New Roman"/>
          <w:sz w:val="22"/>
          <w:lang w:val="fr-CH" w:eastAsia="de-DE"/>
        </w:rPr>
        <w:t xml:space="preserve"> participant et les E</w:t>
      </w:r>
      <w:r w:rsidR="00C34285">
        <w:rPr>
          <w:rFonts w:eastAsia="Times New Roman"/>
          <w:sz w:val="22"/>
          <w:lang w:val="fr-CH" w:eastAsia="de-DE"/>
        </w:rPr>
        <w:t>T</w:t>
      </w:r>
      <w:r w:rsidRPr="00F26E9F">
        <w:rPr>
          <w:rFonts w:eastAsia="Times New Roman"/>
          <w:sz w:val="22"/>
          <w:lang w:val="fr-CH" w:eastAsia="de-DE"/>
        </w:rPr>
        <w:t>F.</w:t>
      </w:r>
    </w:p>
    <w:p w14:paraId="5F5C1751" w14:textId="77777777" w:rsidR="00F26E9F" w:rsidRPr="00F26E9F" w:rsidRDefault="00F26E9F" w:rsidP="00F26E9F">
      <w:pPr>
        <w:autoSpaceDE w:val="0"/>
        <w:autoSpaceDN w:val="0"/>
        <w:adjustRightInd w:val="0"/>
        <w:spacing w:before="80" w:line="240" w:lineRule="auto"/>
        <w:jc w:val="both"/>
        <w:rPr>
          <w:rFonts w:eastAsia="Times New Roman"/>
          <w:sz w:val="22"/>
          <w:lang w:val="fr-CH" w:eastAsia="de-DE"/>
        </w:rPr>
      </w:pPr>
    </w:p>
    <w:p w14:paraId="6AF75F4E" w14:textId="18937203" w:rsidR="00F26E9F" w:rsidRPr="00F26E9F" w:rsidRDefault="00F26E9F" w:rsidP="00F26E9F">
      <w:pPr>
        <w:autoSpaceDE w:val="0"/>
        <w:autoSpaceDN w:val="0"/>
        <w:adjustRightInd w:val="0"/>
        <w:spacing w:before="80" w:line="240" w:lineRule="auto"/>
        <w:jc w:val="both"/>
        <w:rPr>
          <w:rFonts w:eastAsia="Times New Roman"/>
          <w:sz w:val="22"/>
          <w:lang w:val="fr-CH" w:eastAsia="de-DE"/>
        </w:rPr>
      </w:pPr>
      <w:r w:rsidRPr="00F26E9F">
        <w:rPr>
          <w:rFonts w:eastAsia="Times New Roman"/>
          <w:sz w:val="22"/>
          <w:lang w:val="fr-CH" w:eastAsia="de-DE"/>
        </w:rPr>
        <w:t>[</w:t>
      </w:r>
      <w:proofErr w:type="gramStart"/>
      <w:r w:rsidRPr="00F26E9F">
        <w:rPr>
          <w:rFonts w:eastAsia="Times New Roman"/>
          <w:sz w:val="22"/>
          <w:lang w:val="fr-CH" w:eastAsia="de-DE"/>
        </w:rPr>
        <w:t>pour</w:t>
      </w:r>
      <w:proofErr w:type="gramEnd"/>
      <w:r w:rsidRPr="00F26E9F">
        <w:rPr>
          <w:rFonts w:eastAsia="Times New Roman"/>
          <w:sz w:val="22"/>
          <w:lang w:val="fr-CH" w:eastAsia="de-DE"/>
        </w:rPr>
        <w:t xml:space="preserve"> les </w:t>
      </w:r>
      <w:r w:rsidR="00C34285">
        <w:rPr>
          <w:rFonts w:eastAsia="Times New Roman"/>
          <w:sz w:val="22"/>
          <w:lang w:val="fr-CH" w:eastAsia="de-DE"/>
        </w:rPr>
        <w:t>GI</w:t>
      </w:r>
      <w:r w:rsidRPr="00F26E9F">
        <w:rPr>
          <w:rFonts w:eastAsia="Times New Roman"/>
          <w:sz w:val="22"/>
          <w:lang w:val="fr-CH" w:eastAsia="de-DE"/>
        </w:rPr>
        <w:t xml:space="preserve"> participant au TMS]</w:t>
      </w:r>
      <w:r w:rsidR="00C34285">
        <w:rPr>
          <w:rFonts w:eastAsia="Times New Roman"/>
          <w:sz w:val="22"/>
          <w:lang w:val="fr-CH" w:eastAsia="de-DE"/>
        </w:rPr>
        <w:t> </w:t>
      </w:r>
      <w:r w:rsidRPr="00F26E9F">
        <w:rPr>
          <w:rFonts w:eastAsia="Times New Roman"/>
          <w:sz w:val="22"/>
          <w:lang w:val="fr-CH" w:eastAsia="de-DE"/>
        </w:rPr>
        <w:t>: L</w:t>
      </w:r>
      <w:r w:rsidR="00C34285">
        <w:rPr>
          <w:rFonts w:eastAsia="Times New Roman"/>
          <w:sz w:val="22"/>
          <w:lang w:val="fr-CH" w:eastAsia="de-DE"/>
        </w:rPr>
        <w:t>’</w:t>
      </w:r>
      <w:r w:rsidRPr="00F26E9F">
        <w:rPr>
          <w:rFonts w:eastAsia="Times New Roman"/>
          <w:sz w:val="22"/>
          <w:lang w:val="fr-CH" w:eastAsia="de-DE"/>
        </w:rPr>
        <w:t>entreprise conclut avec les CFF une convention d</w:t>
      </w:r>
      <w:r w:rsidR="00C34285">
        <w:rPr>
          <w:rFonts w:eastAsia="Times New Roman"/>
          <w:sz w:val="22"/>
          <w:lang w:val="fr-CH" w:eastAsia="de-DE"/>
        </w:rPr>
        <w:t>’</w:t>
      </w:r>
      <w:r w:rsidRPr="00F26E9F">
        <w:rPr>
          <w:rFonts w:eastAsia="Times New Roman"/>
          <w:sz w:val="22"/>
          <w:lang w:val="fr-CH" w:eastAsia="de-DE"/>
        </w:rPr>
        <w:t xml:space="preserve">utilisation du </w:t>
      </w:r>
      <w:r w:rsidR="00986403" w:rsidRPr="00F361B0">
        <w:rPr>
          <w:rFonts w:eastAsia="Times New Roman"/>
          <w:i/>
          <w:iCs/>
          <w:sz w:val="22"/>
          <w:lang w:val="fr-CH" w:eastAsia="de-DE"/>
        </w:rPr>
        <w:t>Traffic Management System</w:t>
      </w:r>
      <w:r w:rsidR="00986403" w:rsidRPr="00F26E9F">
        <w:rPr>
          <w:rFonts w:eastAsia="Times New Roman"/>
          <w:sz w:val="22"/>
          <w:lang w:val="fr-CH" w:eastAsia="de-DE"/>
        </w:rPr>
        <w:t xml:space="preserve"> </w:t>
      </w:r>
      <w:r w:rsidR="00986403">
        <w:rPr>
          <w:rFonts w:eastAsia="Times New Roman"/>
          <w:sz w:val="22"/>
          <w:lang w:val="fr-CH" w:eastAsia="de-DE"/>
        </w:rPr>
        <w:t>(</w:t>
      </w:r>
      <w:r w:rsidRPr="00F26E9F">
        <w:rPr>
          <w:rFonts w:eastAsia="Times New Roman"/>
          <w:sz w:val="22"/>
          <w:lang w:val="fr-CH" w:eastAsia="de-DE"/>
        </w:rPr>
        <w:t>TMS</w:t>
      </w:r>
      <w:r w:rsidR="00986403">
        <w:rPr>
          <w:rFonts w:eastAsia="Times New Roman"/>
          <w:sz w:val="22"/>
          <w:lang w:val="fr-CH" w:eastAsia="de-DE"/>
        </w:rPr>
        <w:t>)</w:t>
      </w:r>
      <w:r w:rsidRPr="00F26E9F">
        <w:rPr>
          <w:rFonts w:eastAsia="Times New Roman"/>
          <w:sz w:val="22"/>
          <w:lang w:val="fr-CH" w:eastAsia="de-DE"/>
        </w:rPr>
        <w:t xml:space="preserve"> et participe activement à son développement. </w:t>
      </w:r>
      <w:r w:rsidR="00C34285">
        <w:rPr>
          <w:rFonts w:eastAsia="Times New Roman"/>
          <w:sz w:val="22"/>
          <w:lang w:val="fr-CH" w:eastAsia="de-DE"/>
        </w:rPr>
        <w:t>D</w:t>
      </w:r>
      <w:r w:rsidRPr="00F26E9F">
        <w:rPr>
          <w:rFonts w:eastAsia="Times New Roman"/>
          <w:sz w:val="22"/>
          <w:lang w:val="fr-CH" w:eastAsia="de-DE"/>
        </w:rPr>
        <w:t>ans le cadre du rapport annuel</w:t>
      </w:r>
      <w:r w:rsidR="00C34285">
        <w:rPr>
          <w:rFonts w:eastAsia="Times New Roman"/>
          <w:sz w:val="22"/>
          <w:lang w:val="fr-CH" w:eastAsia="de-DE"/>
        </w:rPr>
        <w:t>, elle fait part à l’OFT</w:t>
      </w:r>
      <w:r w:rsidRPr="00F26E9F">
        <w:rPr>
          <w:rFonts w:eastAsia="Times New Roman"/>
          <w:sz w:val="22"/>
          <w:lang w:val="fr-CH" w:eastAsia="de-DE"/>
        </w:rPr>
        <w:t xml:space="preserve"> si</w:t>
      </w:r>
      <w:r w:rsidR="00986403">
        <w:rPr>
          <w:rFonts w:eastAsia="Times New Roman"/>
          <w:sz w:val="22"/>
          <w:lang w:val="fr-CH" w:eastAsia="de-DE"/>
        </w:rPr>
        <w:t xml:space="preserve"> elle considère </w:t>
      </w:r>
      <w:proofErr w:type="gramStart"/>
      <w:r w:rsidR="00986403">
        <w:rPr>
          <w:rFonts w:eastAsia="Times New Roman"/>
          <w:sz w:val="22"/>
          <w:lang w:val="fr-CH" w:eastAsia="de-DE"/>
        </w:rPr>
        <w:t xml:space="preserve">que </w:t>
      </w:r>
      <w:r w:rsidRPr="00F26E9F">
        <w:rPr>
          <w:rFonts w:eastAsia="Times New Roman"/>
          <w:sz w:val="22"/>
          <w:lang w:val="fr-CH" w:eastAsia="de-DE"/>
        </w:rPr>
        <w:t xml:space="preserve"> l</w:t>
      </w:r>
      <w:r w:rsidR="00C34285">
        <w:rPr>
          <w:rFonts w:eastAsia="Times New Roman"/>
          <w:sz w:val="22"/>
          <w:lang w:val="fr-CH" w:eastAsia="de-DE"/>
        </w:rPr>
        <w:t>’</w:t>
      </w:r>
      <w:r w:rsidRPr="00F26E9F">
        <w:rPr>
          <w:rFonts w:eastAsia="Times New Roman"/>
          <w:sz w:val="22"/>
          <w:lang w:val="fr-CH" w:eastAsia="de-DE"/>
        </w:rPr>
        <w:t>égalité</w:t>
      </w:r>
      <w:proofErr w:type="gramEnd"/>
      <w:r w:rsidRPr="00F26E9F">
        <w:rPr>
          <w:rFonts w:eastAsia="Times New Roman"/>
          <w:sz w:val="22"/>
          <w:lang w:val="fr-CH" w:eastAsia="de-DE"/>
        </w:rPr>
        <w:t xml:space="preserve"> de traitement a été garantie </w:t>
      </w:r>
      <w:r w:rsidR="00986403">
        <w:rPr>
          <w:rFonts w:eastAsia="Times New Roman"/>
          <w:sz w:val="22"/>
          <w:lang w:val="fr-CH" w:eastAsia="de-DE"/>
        </w:rPr>
        <w:t xml:space="preserve">ou non </w:t>
      </w:r>
      <w:r w:rsidRPr="00F26E9F">
        <w:rPr>
          <w:rFonts w:eastAsia="Times New Roman"/>
          <w:sz w:val="22"/>
          <w:lang w:val="fr-CH" w:eastAsia="de-DE"/>
        </w:rPr>
        <w:t>dans le TMS.</w:t>
      </w:r>
    </w:p>
    <w:p w14:paraId="2F102E38" w14:textId="77777777" w:rsidR="00F26E9F" w:rsidRPr="00F26E9F" w:rsidRDefault="00F26E9F" w:rsidP="00F26E9F">
      <w:pPr>
        <w:autoSpaceDE w:val="0"/>
        <w:autoSpaceDN w:val="0"/>
        <w:adjustRightInd w:val="0"/>
        <w:spacing w:before="80" w:line="240" w:lineRule="auto"/>
        <w:jc w:val="both"/>
        <w:rPr>
          <w:rFonts w:eastAsia="Times New Roman"/>
          <w:sz w:val="22"/>
          <w:lang w:val="fr-CH" w:eastAsia="de-DE"/>
        </w:rPr>
      </w:pPr>
    </w:p>
    <w:p w14:paraId="0463A760" w14:textId="6B8992F6" w:rsidR="00F26E9F" w:rsidRPr="00BB4F04" w:rsidRDefault="00F26E9F" w:rsidP="00F26E9F">
      <w:pPr>
        <w:autoSpaceDE w:val="0"/>
        <w:autoSpaceDN w:val="0"/>
        <w:adjustRightInd w:val="0"/>
        <w:spacing w:before="80" w:line="240" w:lineRule="auto"/>
        <w:jc w:val="both"/>
        <w:rPr>
          <w:rFonts w:eastAsia="Times New Roman"/>
          <w:sz w:val="22"/>
          <w:lang w:val="fr-CH" w:eastAsia="de-DE"/>
        </w:rPr>
      </w:pPr>
      <w:r w:rsidRPr="00F26E9F">
        <w:rPr>
          <w:rFonts w:eastAsia="Times New Roman"/>
          <w:sz w:val="22"/>
          <w:lang w:val="fr-CH" w:eastAsia="de-DE"/>
        </w:rPr>
        <w:t>[</w:t>
      </w:r>
      <w:proofErr w:type="gramStart"/>
      <w:r w:rsidRPr="00F26E9F">
        <w:rPr>
          <w:rFonts w:eastAsia="Times New Roman"/>
          <w:sz w:val="22"/>
          <w:lang w:val="fr-CH" w:eastAsia="de-DE"/>
        </w:rPr>
        <w:t>pour</w:t>
      </w:r>
      <w:proofErr w:type="gramEnd"/>
      <w:r w:rsidRPr="00F26E9F">
        <w:rPr>
          <w:rFonts w:eastAsia="Times New Roman"/>
          <w:sz w:val="22"/>
          <w:lang w:val="fr-CH" w:eastAsia="de-DE"/>
        </w:rPr>
        <w:t xml:space="preserve"> les </w:t>
      </w:r>
      <w:r w:rsidR="00C34285">
        <w:rPr>
          <w:rFonts w:eastAsia="Times New Roman"/>
          <w:sz w:val="22"/>
          <w:lang w:val="fr-CH" w:eastAsia="de-DE"/>
        </w:rPr>
        <w:t>GI</w:t>
      </w:r>
      <w:r w:rsidRPr="00F26E9F">
        <w:rPr>
          <w:rFonts w:eastAsia="Times New Roman"/>
          <w:sz w:val="22"/>
          <w:lang w:val="fr-CH" w:eastAsia="de-DE"/>
        </w:rPr>
        <w:t xml:space="preserve"> ne participant pas au TMS]</w:t>
      </w:r>
      <w:r w:rsidR="00C34285">
        <w:rPr>
          <w:rFonts w:eastAsia="Times New Roman"/>
          <w:sz w:val="22"/>
          <w:lang w:val="fr-CH" w:eastAsia="de-DE"/>
        </w:rPr>
        <w:t> </w:t>
      </w:r>
      <w:r w:rsidRPr="00F26E9F">
        <w:rPr>
          <w:rFonts w:eastAsia="Times New Roman"/>
          <w:sz w:val="22"/>
          <w:lang w:val="fr-CH" w:eastAsia="de-DE"/>
        </w:rPr>
        <w:t>: L</w:t>
      </w:r>
      <w:r w:rsidR="00C34285">
        <w:rPr>
          <w:rFonts w:eastAsia="Times New Roman"/>
          <w:sz w:val="22"/>
          <w:lang w:val="fr-CH" w:eastAsia="de-DE"/>
        </w:rPr>
        <w:t>’</w:t>
      </w:r>
      <w:r w:rsidRPr="00F26E9F">
        <w:rPr>
          <w:rFonts w:eastAsia="Times New Roman"/>
          <w:sz w:val="22"/>
          <w:lang w:val="fr-CH" w:eastAsia="de-DE"/>
        </w:rPr>
        <w:t>entreprise s</w:t>
      </w:r>
      <w:r w:rsidR="00C34285">
        <w:rPr>
          <w:rFonts w:eastAsia="Times New Roman"/>
          <w:sz w:val="22"/>
          <w:lang w:val="fr-CH" w:eastAsia="de-DE"/>
        </w:rPr>
        <w:t>’</w:t>
      </w:r>
      <w:r w:rsidRPr="00F26E9F">
        <w:rPr>
          <w:rFonts w:eastAsia="Times New Roman"/>
          <w:sz w:val="22"/>
          <w:lang w:val="fr-CH" w:eastAsia="de-DE"/>
        </w:rPr>
        <w:t>assure qu</w:t>
      </w:r>
      <w:r w:rsidR="00C34285">
        <w:rPr>
          <w:rFonts w:eastAsia="Times New Roman"/>
          <w:sz w:val="22"/>
          <w:lang w:val="fr-CH" w:eastAsia="de-DE"/>
        </w:rPr>
        <w:t>’</w:t>
      </w:r>
      <w:r w:rsidRPr="00F26E9F">
        <w:rPr>
          <w:rFonts w:eastAsia="Times New Roman"/>
          <w:sz w:val="22"/>
          <w:lang w:val="fr-CH" w:eastAsia="de-DE"/>
        </w:rPr>
        <w:t xml:space="preserve">un </w:t>
      </w:r>
      <w:r w:rsidR="00986403" w:rsidRPr="00F361B0">
        <w:rPr>
          <w:rFonts w:eastAsia="Times New Roman"/>
          <w:i/>
          <w:iCs/>
          <w:sz w:val="22"/>
          <w:lang w:val="fr-CH" w:eastAsia="de-DE"/>
        </w:rPr>
        <w:t>Traffic Management System</w:t>
      </w:r>
      <w:r w:rsidR="00986403" w:rsidRPr="00F26E9F">
        <w:rPr>
          <w:rFonts w:eastAsia="Times New Roman"/>
          <w:sz w:val="22"/>
          <w:lang w:val="fr-CH" w:eastAsia="de-DE"/>
        </w:rPr>
        <w:t xml:space="preserve"> </w:t>
      </w:r>
      <w:r w:rsidR="00986403">
        <w:rPr>
          <w:rFonts w:eastAsia="Times New Roman"/>
          <w:sz w:val="22"/>
          <w:lang w:val="fr-CH" w:eastAsia="de-DE"/>
        </w:rPr>
        <w:t>(</w:t>
      </w:r>
      <w:r w:rsidRPr="00F26E9F">
        <w:rPr>
          <w:rFonts w:eastAsia="Times New Roman"/>
          <w:sz w:val="22"/>
          <w:lang w:val="fr-CH" w:eastAsia="de-DE"/>
        </w:rPr>
        <w:t>TMS</w:t>
      </w:r>
      <w:r w:rsidR="00986403">
        <w:rPr>
          <w:rFonts w:eastAsia="Times New Roman"/>
          <w:sz w:val="22"/>
          <w:lang w:val="fr-CH" w:eastAsia="de-DE"/>
        </w:rPr>
        <w:t>)</w:t>
      </w:r>
      <w:r w:rsidRPr="00F26E9F">
        <w:rPr>
          <w:rFonts w:eastAsia="Times New Roman"/>
          <w:sz w:val="22"/>
          <w:lang w:val="fr-CH" w:eastAsia="de-DE"/>
        </w:rPr>
        <w:t xml:space="preserve"> sûr est garanti. Pour ce faire, des coopérations peuvent être établies avec d</w:t>
      </w:r>
      <w:r w:rsidR="00C34285">
        <w:rPr>
          <w:rFonts w:eastAsia="Times New Roman"/>
          <w:sz w:val="22"/>
          <w:lang w:val="fr-CH" w:eastAsia="de-DE"/>
        </w:rPr>
        <w:t>’</w:t>
      </w:r>
      <w:r w:rsidRPr="00F26E9F">
        <w:rPr>
          <w:rFonts w:eastAsia="Times New Roman"/>
          <w:sz w:val="22"/>
          <w:lang w:val="fr-CH" w:eastAsia="de-DE"/>
        </w:rPr>
        <w:t xml:space="preserve">autres </w:t>
      </w:r>
      <w:r w:rsidR="00C34285">
        <w:rPr>
          <w:rFonts w:eastAsia="Times New Roman"/>
          <w:sz w:val="22"/>
          <w:lang w:val="fr-CH" w:eastAsia="de-DE"/>
        </w:rPr>
        <w:t>GI</w:t>
      </w:r>
      <w:r w:rsidRPr="00F26E9F">
        <w:rPr>
          <w:rFonts w:eastAsia="Times New Roman"/>
          <w:sz w:val="22"/>
          <w:lang w:val="fr-CH" w:eastAsia="de-DE"/>
        </w:rPr>
        <w:t xml:space="preserve">. Seuls les coûts </w:t>
      </w:r>
      <w:r w:rsidR="00986403">
        <w:rPr>
          <w:rFonts w:eastAsia="Times New Roman"/>
          <w:sz w:val="22"/>
          <w:lang w:val="fr-CH" w:eastAsia="de-DE"/>
        </w:rPr>
        <w:t>au prorata</w:t>
      </w:r>
      <w:r w:rsidRPr="00F26E9F">
        <w:rPr>
          <w:rFonts w:eastAsia="Times New Roman"/>
          <w:sz w:val="22"/>
          <w:lang w:val="fr-CH" w:eastAsia="de-DE"/>
        </w:rPr>
        <w:t xml:space="preserve"> </w:t>
      </w:r>
      <w:r w:rsidR="00C34285">
        <w:rPr>
          <w:rFonts w:eastAsia="Times New Roman"/>
          <w:sz w:val="22"/>
          <w:lang w:val="fr-CH" w:eastAsia="de-DE"/>
        </w:rPr>
        <w:t>des GI</w:t>
      </w:r>
      <w:r w:rsidRPr="00F26E9F">
        <w:rPr>
          <w:rFonts w:eastAsia="Times New Roman"/>
          <w:sz w:val="22"/>
          <w:lang w:val="fr-CH" w:eastAsia="de-DE"/>
        </w:rPr>
        <w:t xml:space="preserve"> peuvent être facturés dans le cadre de la </w:t>
      </w:r>
      <w:r w:rsidR="00C34285">
        <w:rPr>
          <w:rFonts w:eastAsia="Times New Roman"/>
          <w:sz w:val="22"/>
          <w:lang w:val="fr-CH" w:eastAsia="de-DE"/>
        </w:rPr>
        <w:t>CP</w:t>
      </w:r>
      <w:r w:rsidRPr="00F26E9F">
        <w:rPr>
          <w:rFonts w:eastAsia="Times New Roman"/>
          <w:sz w:val="22"/>
          <w:lang w:val="fr-CH" w:eastAsia="de-DE"/>
        </w:rPr>
        <w:t>.</w:t>
      </w:r>
    </w:p>
    <w:p w14:paraId="7F7DA2DC" w14:textId="77777777" w:rsidR="002C6D21" w:rsidRPr="00BF5802" w:rsidRDefault="002C6D21" w:rsidP="000A0102">
      <w:pPr>
        <w:pStyle w:val="TitelAnhKurztit"/>
        <w:spacing w:line="240" w:lineRule="auto"/>
        <w:rPr>
          <w:rFonts w:ascii="Arial" w:hAnsi="Arial" w:cs="Arial"/>
          <w:sz w:val="24"/>
          <w:lang w:val="fr-CH"/>
        </w:rPr>
      </w:pPr>
    </w:p>
    <w:p w14:paraId="558E18E2" w14:textId="4E2002E7" w:rsidR="00243EBA" w:rsidRPr="0035662D" w:rsidRDefault="0035662D" w:rsidP="000A0102">
      <w:pPr>
        <w:pStyle w:val="TitelAnhKurztit"/>
        <w:spacing w:line="240" w:lineRule="auto"/>
        <w:rPr>
          <w:rFonts w:ascii="Arial" w:hAnsi="Arial" w:cs="Arial"/>
          <w:sz w:val="24"/>
          <w:lang w:val="fr-CH"/>
        </w:rPr>
      </w:pPr>
      <w:r w:rsidRPr="0035662D">
        <w:rPr>
          <w:rFonts w:ascii="Arial" w:hAnsi="Arial" w:cs="Arial"/>
          <w:sz w:val="24"/>
          <w:lang w:val="fr-CH"/>
        </w:rPr>
        <w:t>Section 4</w:t>
      </w:r>
      <w:r w:rsidRPr="0035662D">
        <w:rPr>
          <w:rFonts w:ascii="Arial" w:hAnsi="Arial" w:cs="Arial"/>
          <w:sz w:val="24"/>
          <w:lang w:val="fr-CH"/>
        </w:rPr>
        <w:tab/>
        <w:t>Description des prestations à fournir</w:t>
      </w:r>
      <w:r w:rsidR="00243EBA" w:rsidRPr="0035662D">
        <w:rPr>
          <w:rFonts w:ascii="Arial" w:hAnsi="Arial" w:cs="Arial"/>
          <w:sz w:val="24"/>
          <w:lang w:val="fr-CH"/>
        </w:rPr>
        <w:t xml:space="preserve"> </w:t>
      </w:r>
    </w:p>
    <w:p w14:paraId="475D6A3F" w14:textId="7B5E37CF" w:rsidR="00243EBA" w:rsidRPr="00E4385B" w:rsidRDefault="00243EBA" w:rsidP="00617E6D">
      <w:pPr>
        <w:pStyle w:val="TitelArtikelKomm"/>
        <w:spacing w:line="360" w:lineRule="auto"/>
        <w:rPr>
          <w:rFonts w:ascii="Arial" w:hAnsi="Arial" w:cs="Arial"/>
          <w:b/>
          <w:i w:val="0"/>
          <w:sz w:val="22"/>
          <w:lang w:val="fr-CH"/>
        </w:rPr>
      </w:pPr>
      <w:r w:rsidRPr="00E4385B">
        <w:rPr>
          <w:rFonts w:ascii="Arial" w:hAnsi="Arial" w:cs="Arial"/>
          <w:b/>
          <w:i w:val="0"/>
          <w:sz w:val="22"/>
          <w:lang w:val="fr-CH"/>
        </w:rPr>
        <w:t>Art.</w:t>
      </w:r>
      <w:r w:rsidR="0035662D">
        <w:rPr>
          <w:rFonts w:ascii="Arial" w:hAnsi="Arial" w:cs="Arial"/>
          <w:b/>
          <w:i w:val="0"/>
          <w:sz w:val="22"/>
          <w:lang w:val="fr-CH"/>
        </w:rPr>
        <w:t> </w:t>
      </w:r>
      <w:r w:rsidRPr="00E4385B">
        <w:rPr>
          <w:rFonts w:ascii="Arial" w:hAnsi="Arial" w:cs="Arial"/>
          <w:b/>
          <w:i w:val="0"/>
          <w:sz w:val="22"/>
          <w:lang w:val="fr-CH"/>
        </w:rPr>
        <w:t>12</w:t>
      </w:r>
      <w:r w:rsidRPr="00E4385B">
        <w:rPr>
          <w:rFonts w:ascii="Arial" w:hAnsi="Arial" w:cs="Arial"/>
          <w:b/>
          <w:i w:val="0"/>
          <w:sz w:val="22"/>
          <w:lang w:val="fr-CH"/>
        </w:rPr>
        <w:tab/>
        <w:t>Infrastru</w:t>
      </w:r>
      <w:r w:rsidR="0035662D">
        <w:rPr>
          <w:rFonts w:ascii="Arial" w:hAnsi="Arial" w:cs="Arial"/>
          <w:b/>
          <w:i w:val="0"/>
          <w:sz w:val="22"/>
          <w:lang w:val="fr-CH"/>
        </w:rPr>
        <w:t>c</w:t>
      </w:r>
      <w:r w:rsidRPr="00E4385B">
        <w:rPr>
          <w:rFonts w:ascii="Arial" w:hAnsi="Arial" w:cs="Arial"/>
          <w:b/>
          <w:i w:val="0"/>
          <w:sz w:val="22"/>
          <w:lang w:val="fr-CH"/>
        </w:rPr>
        <w:t>tur</w:t>
      </w:r>
      <w:r w:rsidR="0035662D">
        <w:rPr>
          <w:rFonts w:ascii="Arial" w:hAnsi="Arial" w:cs="Arial"/>
          <w:b/>
          <w:i w:val="0"/>
          <w:sz w:val="22"/>
          <w:lang w:val="fr-CH"/>
        </w:rPr>
        <w:t>e à exploiter</w:t>
      </w:r>
    </w:p>
    <w:p w14:paraId="7D98F281" w14:textId="0E2AE6F6" w:rsidR="0035662D" w:rsidRPr="0035662D" w:rsidRDefault="0035662D" w:rsidP="0035662D">
      <w:pPr>
        <w:spacing w:before="80" w:line="240" w:lineRule="auto"/>
        <w:jc w:val="both"/>
        <w:rPr>
          <w:rFonts w:eastAsia="Times New Roman"/>
          <w:sz w:val="22"/>
          <w:lang w:val="fr-CH" w:eastAsia="de-DE"/>
        </w:rPr>
      </w:pPr>
      <w:r w:rsidRPr="0035662D">
        <w:rPr>
          <w:rFonts w:eastAsia="Times New Roman"/>
          <w:sz w:val="22"/>
          <w:vertAlign w:val="superscript"/>
          <w:lang w:val="fr-CH" w:eastAsia="de-DE"/>
        </w:rPr>
        <w:t>1 </w:t>
      </w:r>
      <w:r w:rsidRPr="0035662D">
        <w:rPr>
          <w:rFonts w:eastAsia="Times New Roman"/>
          <w:sz w:val="22"/>
          <w:lang w:val="fr-CH" w:eastAsia="de-DE"/>
        </w:rPr>
        <w:t>L’infrastructure conformément à l’art.</w:t>
      </w:r>
      <w:r>
        <w:rPr>
          <w:rFonts w:eastAsia="Times New Roman"/>
          <w:sz w:val="22"/>
          <w:lang w:val="fr-CH" w:eastAsia="de-DE"/>
        </w:rPr>
        <w:t> </w:t>
      </w:r>
      <w:r w:rsidRPr="0035662D">
        <w:rPr>
          <w:rFonts w:eastAsia="Times New Roman"/>
          <w:sz w:val="22"/>
          <w:lang w:val="fr-CH" w:eastAsia="de-DE"/>
        </w:rPr>
        <w:t>62 LCdF, que l’entreprise est tenue d’exploiter en vertu de la présente convention, est constituée des tronçons soumis à concession conformément à l’art.</w:t>
      </w:r>
      <w:r>
        <w:rPr>
          <w:rFonts w:eastAsia="Times New Roman"/>
          <w:sz w:val="22"/>
          <w:lang w:val="fr-CH" w:eastAsia="de-DE"/>
        </w:rPr>
        <w:t> </w:t>
      </w:r>
      <w:r w:rsidRPr="0035662D">
        <w:rPr>
          <w:rFonts w:eastAsia="Times New Roman"/>
          <w:sz w:val="22"/>
          <w:lang w:val="fr-CH" w:eastAsia="de-DE"/>
        </w:rPr>
        <w:t>10 OCPF. [Complément pour BLSN</w:t>
      </w:r>
      <w:r>
        <w:rPr>
          <w:rFonts w:eastAsia="Times New Roman"/>
          <w:sz w:val="22"/>
          <w:lang w:val="fr-CH" w:eastAsia="de-DE"/>
        </w:rPr>
        <w:t> </w:t>
      </w:r>
      <w:r w:rsidRPr="0035662D">
        <w:rPr>
          <w:rFonts w:eastAsia="Times New Roman"/>
          <w:sz w:val="22"/>
          <w:lang w:val="fr-CH" w:eastAsia="de-DE"/>
        </w:rPr>
        <w:t>: y compris la conduite de l’exploitation dans la vallée de l’Aar et le Haut-Valais conformément au contrat avec les CFF]. [Complément uniquement pour SZU, TPC, MVR, WAB, BOB] Sont exceptés les tronçons ci-après sans fonction de desserte conformément à l’art.</w:t>
      </w:r>
      <w:r>
        <w:rPr>
          <w:rFonts w:eastAsia="Times New Roman"/>
          <w:sz w:val="22"/>
          <w:lang w:val="fr-CH" w:eastAsia="de-DE"/>
        </w:rPr>
        <w:t> </w:t>
      </w:r>
      <w:r w:rsidRPr="0035662D">
        <w:rPr>
          <w:rFonts w:eastAsia="Times New Roman"/>
          <w:sz w:val="22"/>
          <w:lang w:val="fr-CH" w:eastAsia="de-DE"/>
        </w:rPr>
        <w:t>49, al. 3, LCdF</w:t>
      </w:r>
      <w:r>
        <w:rPr>
          <w:rFonts w:eastAsia="Times New Roman"/>
          <w:sz w:val="22"/>
          <w:lang w:val="fr-CH" w:eastAsia="de-DE"/>
        </w:rPr>
        <w:t> </w:t>
      </w:r>
      <w:r w:rsidRPr="0035662D">
        <w:rPr>
          <w:rFonts w:eastAsia="Times New Roman"/>
          <w:sz w:val="22"/>
          <w:lang w:val="fr-CH" w:eastAsia="de-DE"/>
        </w:rPr>
        <w:t xml:space="preserve">: l’entreprise garantit que le financement de l’exploitation et de l’entretien de ces tronçons est assuré d’une autre manière. Les montants forfaitaires doivent être approuvés par l’OFT.] </w:t>
      </w:r>
    </w:p>
    <w:p w14:paraId="6F9C3566" w14:textId="77777777" w:rsidR="0035662D" w:rsidRPr="0035662D" w:rsidRDefault="0035662D" w:rsidP="0035662D">
      <w:pPr>
        <w:spacing w:before="80" w:line="240" w:lineRule="auto"/>
        <w:jc w:val="both"/>
        <w:rPr>
          <w:rFonts w:eastAsia="Times New Roman"/>
          <w:sz w:val="22"/>
          <w:lang w:val="fr-CH" w:eastAsia="de-DE"/>
        </w:rPr>
      </w:pPr>
      <w:r w:rsidRPr="0035662D">
        <w:rPr>
          <w:rFonts w:eastAsia="Times New Roman"/>
          <w:sz w:val="22"/>
          <w:vertAlign w:val="superscript"/>
          <w:lang w:val="fr-CH" w:eastAsia="de-DE"/>
        </w:rPr>
        <w:t>2 </w:t>
      </w:r>
      <w:r w:rsidRPr="0035662D">
        <w:rPr>
          <w:rFonts w:eastAsia="Times New Roman"/>
          <w:sz w:val="22"/>
          <w:lang w:val="fr-CH" w:eastAsia="de-DE"/>
        </w:rPr>
        <w:t>L’entreprise peut exploiter d’autres tronçons sur mandat de tiers. L’indemnisation perçue pour l’exploitation de ces tronçons ne fait pas l’objet de la présente convention.</w:t>
      </w:r>
    </w:p>
    <w:p w14:paraId="75B5A62D" w14:textId="03308679" w:rsidR="00A614FB" w:rsidRDefault="0035662D" w:rsidP="0035662D">
      <w:pPr>
        <w:spacing w:before="80" w:line="240" w:lineRule="auto"/>
        <w:jc w:val="both"/>
        <w:rPr>
          <w:rFonts w:eastAsia="Times New Roman"/>
          <w:sz w:val="22"/>
          <w:vertAlign w:val="superscript"/>
          <w:lang w:val="fr-CH" w:eastAsia="de-DE"/>
        </w:rPr>
      </w:pPr>
      <w:r w:rsidRPr="0035662D">
        <w:rPr>
          <w:rFonts w:eastAsia="Times New Roman"/>
          <w:sz w:val="22"/>
          <w:vertAlign w:val="superscript"/>
          <w:lang w:val="fr-CH" w:eastAsia="de-DE"/>
        </w:rPr>
        <w:t>3 </w:t>
      </w:r>
      <w:r w:rsidR="00A614FB" w:rsidRPr="00A614FB">
        <w:rPr>
          <w:rFonts w:eastAsia="Times New Roman"/>
          <w:sz w:val="22"/>
          <w:lang w:val="fr-CH" w:eastAsia="de-DE"/>
        </w:rPr>
        <w:t>L’entreprise reçoit les installations destinées au transport de marchandises conformément aux répertoires de la conception relative au transport ferroviaire de marchandises et conformément à leur fonction et à leur capacité. Elle prévoit le perfectionnement de ces installations en tenant compte des intérêts des utilisateurs, des cantons et des communes. Il faut porter une attention particulière à l’accès commercial aux chemins de fer pour les transporteurs. Une fermeture ou une adaptation de la capacité ou de la fonctionnalité n’est possible qu’après concertation avec l’OFT et à condition qu’elle corresponde à la conception relative au transport ferroviaire de marchandises conformément à l’art.</w:t>
      </w:r>
      <w:r w:rsidR="00A614FB">
        <w:rPr>
          <w:rFonts w:eastAsia="Times New Roman"/>
          <w:sz w:val="22"/>
          <w:lang w:val="fr-CH" w:eastAsia="de-DE"/>
        </w:rPr>
        <w:t> </w:t>
      </w:r>
      <w:r w:rsidR="00A614FB" w:rsidRPr="00A614FB">
        <w:rPr>
          <w:rFonts w:eastAsia="Times New Roman"/>
          <w:sz w:val="22"/>
          <w:lang w:val="fr-CH" w:eastAsia="de-DE"/>
        </w:rPr>
        <w:t>3 LTM.</w:t>
      </w:r>
    </w:p>
    <w:p w14:paraId="7995A10B" w14:textId="4E8E585F" w:rsidR="00A614FB" w:rsidRDefault="00A614FB" w:rsidP="0035662D">
      <w:pPr>
        <w:spacing w:before="80" w:line="240" w:lineRule="auto"/>
        <w:jc w:val="both"/>
        <w:rPr>
          <w:rFonts w:eastAsia="Times New Roman"/>
          <w:sz w:val="22"/>
          <w:highlight w:val="yellow"/>
          <w:lang w:val="fr-CH" w:eastAsia="de-DE"/>
        </w:rPr>
      </w:pPr>
      <w:r w:rsidRPr="00A614FB">
        <w:rPr>
          <w:rFonts w:eastAsia="Times New Roman"/>
          <w:sz w:val="22"/>
          <w:vertAlign w:val="superscript"/>
          <w:lang w:val="fr-CH" w:eastAsia="de-DE"/>
        </w:rPr>
        <w:t>4°</w:t>
      </w:r>
      <w:r w:rsidRPr="0035662D">
        <w:rPr>
          <w:rFonts w:eastAsia="Times New Roman"/>
          <w:sz w:val="22"/>
          <w:lang w:val="fr-CH" w:eastAsia="de-DE"/>
        </w:rPr>
        <w:t xml:space="preserve">Si des projets </w:t>
      </w:r>
      <w:r w:rsidR="00377436">
        <w:rPr>
          <w:rFonts w:eastAsia="Times New Roman"/>
          <w:sz w:val="22"/>
          <w:lang w:val="fr-CH" w:eastAsia="de-DE"/>
        </w:rPr>
        <w:t>de la maintenance</w:t>
      </w:r>
      <w:r w:rsidRPr="0035662D">
        <w:rPr>
          <w:rFonts w:eastAsia="Times New Roman"/>
          <w:sz w:val="22"/>
          <w:lang w:val="fr-CH" w:eastAsia="de-DE"/>
        </w:rPr>
        <w:t xml:space="preserve"> ou d’autres mesures de l’entreprise modifient les possibilités d’utilisation de l’infrastructure, l’entreprise évalue sa compatibilité avec des trafics existants ou prévus et notamment avec des futurs projets d’offres (étapes d’aménagement du PRODES). Elle soumet son évaluation pour vérification à l’OFT. Par modification des possibilités d’utilisation, on entend notamment la suppression de croisements et de diagonales d’échanges, la réduction de la longueur utile des quais, de la longueur d’évitement</w:t>
      </w:r>
      <w:r>
        <w:rPr>
          <w:rFonts w:eastAsia="Times New Roman"/>
          <w:sz w:val="22"/>
          <w:lang w:val="fr-CH" w:eastAsia="de-DE"/>
        </w:rPr>
        <w:t xml:space="preserve"> / de la longueur utile des croisements,</w:t>
      </w:r>
      <w:r w:rsidRPr="0035662D">
        <w:rPr>
          <w:rFonts w:eastAsia="Times New Roman"/>
          <w:sz w:val="22"/>
          <w:lang w:val="fr-CH" w:eastAsia="de-DE"/>
        </w:rPr>
        <w:t xml:space="preserve"> des voies à quai disponibles, des voies de réception et de formation, du poids admis par essieu et par longueur de train, du profil d’espace libre, du distancement des trains, des capacités de garage et du prolongement des parcours de correspondance.</w:t>
      </w:r>
    </w:p>
    <w:p w14:paraId="56B971AE" w14:textId="18D044A8" w:rsidR="0035662D" w:rsidRPr="0035662D" w:rsidRDefault="00A614FB" w:rsidP="0035662D">
      <w:pPr>
        <w:spacing w:before="80" w:line="240" w:lineRule="auto"/>
        <w:jc w:val="both"/>
        <w:rPr>
          <w:rFonts w:eastAsia="Times New Roman"/>
          <w:sz w:val="22"/>
          <w:lang w:val="fr-CH" w:eastAsia="de-DE"/>
        </w:rPr>
      </w:pPr>
      <w:r w:rsidRPr="00A614FB">
        <w:rPr>
          <w:rFonts w:eastAsia="Times New Roman"/>
          <w:sz w:val="22"/>
          <w:vertAlign w:val="superscript"/>
          <w:lang w:val="fr-CH" w:eastAsia="de-DE"/>
        </w:rPr>
        <w:t>5°</w:t>
      </w:r>
      <w:r w:rsidR="0035662D" w:rsidRPr="0035662D">
        <w:rPr>
          <w:rFonts w:eastAsia="Times New Roman"/>
          <w:sz w:val="22"/>
          <w:lang w:val="fr-CH" w:eastAsia="de-DE"/>
        </w:rPr>
        <w:t xml:space="preserve">L’entreprise s’engage à communiquer préalablement à l’OFT les </w:t>
      </w:r>
      <w:r w:rsidRPr="00A614FB">
        <w:rPr>
          <w:rFonts w:eastAsia="Times New Roman"/>
          <w:sz w:val="22"/>
          <w:lang w:val="fr-CH" w:eastAsia="de-DE"/>
        </w:rPr>
        <w:t xml:space="preserve">cessions </w:t>
      </w:r>
      <w:r w:rsidR="00986403">
        <w:rPr>
          <w:rFonts w:eastAsia="Times New Roman"/>
          <w:sz w:val="22"/>
          <w:lang w:val="fr-CH" w:eastAsia="de-DE"/>
        </w:rPr>
        <w:t>gratuites</w:t>
      </w:r>
      <w:r w:rsidRPr="00A614FB">
        <w:rPr>
          <w:rFonts w:eastAsia="Times New Roman"/>
          <w:sz w:val="22"/>
          <w:lang w:val="fr-CH" w:eastAsia="de-DE"/>
        </w:rPr>
        <w:t xml:space="preserve"> ou les </w:t>
      </w:r>
      <w:r w:rsidR="00986403">
        <w:rPr>
          <w:rFonts w:eastAsia="Times New Roman"/>
          <w:sz w:val="22"/>
          <w:lang w:val="fr-CH" w:eastAsia="de-DE"/>
        </w:rPr>
        <w:t xml:space="preserve">ventes </w:t>
      </w:r>
      <w:r w:rsidR="0035662D" w:rsidRPr="0035662D">
        <w:rPr>
          <w:rFonts w:eastAsia="Times New Roman"/>
          <w:sz w:val="22"/>
          <w:lang w:val="fr-CH" w:eastAsia="de-DE"/>
        </w:rPr>
        <w:t>important</w:t>
      </w:r>
      <w:r w:rsidR="00986403">
        <w:rPr>
          <w:rFonts w:eastAsia="Times New Roman"/>
          <w:sz w:val="22"/>
          <w:lang w:val="fr-CH" w:eastAsia="de-DE"/>
        </w:rPr>
        <w:t>e</w:t>
      </w:r>
      <w:r w:rsidR="0035662D" w:rsidRPr="0035662D">
        <w:rPr>
          <w:rFonts w:eastAsia="Times New Roman"/>
          <w:sz w:val="22"/>
          <w:lang w:val="fr-CH" w:eastAsia="de-DE"/>
        </w:rPr>
        <w:t xml:space="preserve">s de tout type d’installation, notamment des installations construites ou acquises à l’aide de fonds d’investissement des pouvoirs publics. </w:t>
      </w:r>
      <w:r w:rsidRPr="00A614FB">
        <w:rPr>
          <w:rFonts w:eastAsia="Times New Roman"/>
          <w:sz w:val="22"/>
          <w:lang w:val="fr-CH" w:eastAsia="de-DE"/>
        </w:rPr>
        <w:t xml:space="preserve">Les recettes découlant d’un changement de propriétaire sont affectées et doivent être utilisée dans le cadre des investissements de renouvellement de l’entreprise. </w:t>
      </w:r>
      <w:r w:rsidR="0035662D" w:rsidRPr="0035662D">
        <w:rPr>
          <w:rFonts w:eastAsia="Times New Roman"/>
          <w:sz w:val="22"/>
          <w:lang w:val="fr-CH" w:eastAsia="de-DE"/>
        </w:rPr>
        <w:t>En cas de changement d’affectation, de vente ou de changement de propriétaire d’un objet en rapport avec des aides financières conformément à l’art. 51</w:t>
      </w:r>
      <w:r w:rsidR="0035662D" w:rsidRPr="0035662D">
        <w:rPr>
          <w:rFonts w:eastAsia="Times New Roman"/>
          <w:i/>
          <w:iCs/>
          <w:sz w:val="22"/>
          <w:lang w:val="fr-CH" w:eastAsia="de-DE"/>
        </w:rPr>
        <w:t>b</w:t>
      </w:r>
      <w:r w:rsidR="0035662D" w:rsidRPr="0035662D">
        <w:rPr>
          <w:rFonts w:eastAsia="Times New Roman"/>
          <w:sz w:val="22"/>
          <w:lang w:val="fr-CH" w:eastAsia="de-DE"/>
        </w:rPr>
        <w:t xml:space="preserve"> </w:t>
      </w:r>
      <w:proofErr w:type="spellStart"/>
      <w:r w:rsidR="0035662D" w:rsidRPr="0035662D">
        <w:rPr>
          <w:rFonts w:eastAsia="Times New Roman"/>
          <w:sz w:val="22"/>
          <w:lang w:val="fr-CH" w:eastAsia="de-DE"/>
        </w:rPr>
        <w:t>LCdF</w:t>
      </w:r>
      <w:proofErr w:type="spellEnd"/>
      <w:r w:rsidR="0035662D" w:rsidRPr="0035662D">
        <w:rPr>
          <w:rFonts w:eastAsia="Times New Roman"/>
          <w:sz w:val="22"/>
          <w:lang w:val="fr-CH" w:eastAsia="de-DE"/>
        </w:rPr>
        <w:t>, l’art. 29 LSu est applicable.</w:t>
      </w:r>
    </w:p>
    <w:p w14:paraId="234B0225" w14:textId="74B84174" w:rsidR="0035662D" w:rsidRPr="0035662D" w:rsidRDefault="00A614FB" w:rsidP="0035662D">
      <w:pPr>
        <w:spacing w:before="80" w:line="240" w:lineRule="auto"/>
        <w:jc w:val="both"/>
        <w:rPr>
          <w:rFonts w:eastAsia="Times New Roman"/>
          <w:sz w:val="22"/>
          <w:lang w:val="fr-CH" w:eastAsia="de-DE"/>
        </w:rPr>
      </w:pPr>
      <w:r w:rsidRPr="00A614FB">
        <w:rPr>
          <w:rFonts w:eastAsia="Times New Roman"/>
          <w:sz w:val="22"/>
          <w:vertAlign w:val="superscript"/>
          <w:lang w:val="fr-CH" w:eastAsia="de-DE"/>
        </w:rPr>
        <w:t>6</w:t>
      </w:r>
      <w:r w:rsidR="0035662D" w:rsidRPr="0035662D">
        <w:rPr>
          <w:rFonts w:eastAsia="Times New Roman"/>
          <w:sz w:val="22"/>
          <w:vertAlign w:val="superscript"/>
          <w:lang w:val="fr-CH" w:eastAsia="de-DE"/>
        </w:rPr>
        <w:t> </w:t>
      </w:r>
      <w:r w:rsidR="0035662D" w:rsidRPr="0035662D">
        <w:rPr>
          <w:rFonts w:eastAsia="Times New Roman"/>
          <w:sz w:val="22"/>
          <w:lang w:val="fr-CH" w:eastAsia="de-DE"/>
        </w:rPr>
        <w:t xml:space="preserve">Les modifications du besoin de terrain doivent être examinées dans l’optique d’une future exploitation ferroviaire. Les ventes de terrains du secteur Infrastructure sont soumises à l’autorisation de l’OFT. Généralement, </w:t>
      </w:r>
      <w:r w:rsidR="00986403">
        <w:rPr>
          <w:rFonts w:eastAsia="Times New Roman"/>
          <w:sz w:val="22"/>
          <w:lang w:val="fr-CH" w:eastAsia="de-DE"/>
        </w:rPr>
        <w:t>ce dernier</w:t>
      </w:r>
      <w:r w:rsidR="0035662D" w:rsidRPr="0035662D">
        <w:rPr>
          <w:rFonts w:eastAsia="Times New Roman"/>
          <w:sz w:val="22"/>
          <w:lang w:val="fr-CH" w:eastAsia="de-DE"/>
        </w:rPr>
        <w:t xml:space="preserve"> communique le résultat de </w:t>
      </w:r>
      <w:r w:rsidR="00986403">
        <w:rPr>
          <w:rFonts w:eastAsia="Times New Roman"/>
          <w:sz w:val="22"/>
          <w:lang w:val="fr-CH" w:eastAsia="de-DE"/>
        </w:rPr>
        <w:t>’l’</w:t>
      </w:r>
      <w:r w:rsidR="0035662D" w:rsidRPr="0035662D">
        <w:rPr>
          <w:rFonts w:eastAsia="Times New Roman"/>
          <w:sz w:val="22"/>
          <w:lang w:val="fr-CH" w:eastAsia="de-DE"/>
        </w:rPr>
        <w:t>examen à l’entreprise dans un délai de 30 jours ouvrables après avoir reçu la totalité des documents. Les litiges sont réglés selon l’art.</w:t>
      </w:r>
      <w:r w:rsidRPr="00A614FB">
        <w:rPr>
          <w:rFonts w:eastAsia="Times New Roman"/>
          <w:sz w:val="22"/>
          <w:lang w:val="fr-CH" w:eastAsia="de-DE"/>
        </w:rPr>
        <w:t> </w:t>
      </w:r>
      <w:r w:rsidR="0035662D" w:rsidRPr="0035662D">
        <w:rPr>
          <w:rFonts w:eastAsia="Times New Roman"/>
          <w:sz w:val="22"/>
          <w:lang w:val="fr-CH" w:eastAsia="de-DE"/>
        </w:rPr>
        <w:t>51</w:t>
      </w:r>
      <w:r w:rsidR="0035662D" w:rsidRPr="0035662D">
        <w:rPr>
          <w:rFonts w:eastAsia="Times New Roman"/>
          <w:i/>
          <w:iCs/>
          <w:sz w:val="22"/>
          <w:lang w:val="fr-CH" w:eastAsia="de-DE"/>
        </w:rPr>
        <w:t>a</w:t>
      </w:r>
      <w:r w:rsidR="0035662D" w:rsidRPr="0035662D">
        <w:rPr>
          <w:rFonts w:eastAsia="Times New Roman"/>
          <w:sz w:val="22"/>
          <w:lang w:val="fr-CH" w:eastAsia="de-DE"/>
        </w:rPr>
        <w:t xml:space="preserve"> </w:t>
      </w:r>
      <w:proofErr w:type="spellStart"/>
      <w:r w:rsidR="0035662D" w:rsidRPr="0035662D">
        <w:rPr>
          <w:rFonts w:eastAsia="Times New Roman"/>
          <w:sz w:val="22"/>
          <w:lang w:val="fr-CH" w:eastAsia="de-DE"/>
        </w:rPr>
        <w:t>LCdF</w:t>
      </w:r>
      <w:proofErr w:type="spellEnd"/>
      <w:r w:rsidR="0035662D" w:rsidRPr="0035662D">
        <w:rPr>
          <w:rFonts w:eastAsia="Times New Roman"/>
          <w:sz w:val="22"/>
          <w:lang w:val="fr-CH" w:eastAsia="de-DE"/>
        </w:rPr>
        <w:t>.</w:t>
      </w:r>
    </w:p>
    <w:p w14:paraId="32E71BC1" w14:textId="77777777" w:rsidR="0035662D" w:rsidRPr="0035662D" w:rsidRDefault="0035662D" w:rsidP="0035662D">
      <w:pPr>
        <w:spacing w:before="80" w:line="240" w:lineRule="auto"/>
        <w:jc w:val="both"/>
        <w:rPr>
          <w:rFonts w:eastAsia="Times New Roman"/>
          <w:sz w:val="22"/>
          <w:lang w:val="fr-CH" w:eastAsia="de-DE"/>
        </w:rPr>
      </w:pPr>
      <w:r w:rsidRPr="0035662D">
        <w:rPr>
          <w:rFonts w:eastAsia="Times New Roman"/>
          <w:sz w:val="22"/>
          <w:vertAlign w:val="superscript"/>
          <w:lang w:val="fr-CH" w:eastAsia="de-DE"/>
        </w:rPr>
        <w:t>7 </w:t>
      </w:r>
      <w:r w:rsidRPr="0035662D">
        <w:rPr>
          <w:rFonts w:eastAsia="Times New Roman"/>
          <w:sz w:val="22"/>
          <w:lang w:val="fr-CH" w:eastAsia="de-DE"/>
        </w:rPr>
        <w:t xml:space="preserve">[Tous les GI] L’entreprise met des géodonnées de l’infrastructure à disposition pour l’OFT, notamment les données pour le jeu de géodonnées de base n° 98 selon l’annexe 1 OGéo. </w:t>
      </w:r>
    </w:p>
    <w:p w14:paraId="67208A29" w14:textId="77777777" w:rsidR="0035662D" w:rsidRPr="0035662D" w:rsidRDefault="0035662D" w:rsidP="0035662D">
      <w:pPr>
        <w:spacing w:before="80" w:line="240" w:lineRule="auto"/>
        <w:jc w:val="both"/>
        <w:rPr>
          <w:rFonts w:eastAsia="Times New Roman"/>
          <w:sz w:val="22"/>
          <w:lang w:val="fr-CH" w:eastAsia="de-DE"/>
        </w:rPr>
      </w:pPr>
      <w:r w:rsidRPr="0035662D">
        <w:rPr>
          <w:rFonts w:eastAsia="Times New Roman"/>
          <w:sz w:val="22"/>
          <w:vertAlign w:val="superscript"/>
          <w:lang w:val="fr-CH" w:eastAsia="de-DE"/>
        </w:rPr>
        <w:t>8 </w:t>
      </w:r>
      <w:r w:rsidRPr="0035662D">
        <w:rPr>
          <w:rFonts w:eastAsia="Times New Roman"/>
          <w:sz w:val="22"/>
          <w:lang w:val="fr-CH" w:eastAsia="de-DE"/>
        </w:rPr>
        <w:t>[uniquement CFF] La commande comprend les gares de triage conformément à l’art. 5 OARF-OFT et à l’annexe 5 de la conception relative au transport ferroviaire de marchandises. Une éventuelle vérification du nombre de gares de triage nécessaires et de leur agencement est effectuée selon les processus fixés dans la conception relative au transport ferroviaire de marchandises.</w:t>
      </w:r>
    </w:p>
    <w:p w14:paraId="04764A5C" w14:textId="216367FC" w:rsidR="00243EBA" w:rsidRPr="0035662D" w:rsidRDefault="00243EBA" w:rsidP="00347259">
      <w:pPr>
        <w:pStyle w:val="Absatz"/>
        <w:spacing w:line="240" w:lineRule="auto"/>
        <w:rPr>
          <w:rFonts w:ascii="Arial" w:hAnsi="Arial" w:cs="Arial"/>
          <w:sz w:val="22"/>
          <w:szCs w:val="22"/>
          <w:lang w:val="fr-CH"/>
        </w:rPr>
      </w:pPr>
    </w:p>
    <w:p w14:paraId="490F6138" w14:textId="484560B0"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DC7146">
        <w:rPr>
          <w:rFonts w:ascii="Arial" w:hAnsi="Arial" w:cs="Arial"/>
          <w:b/>
          <w:i w:val="0"/>
          <w:sz w:val="22"/>
          <w:lang w:val="fr-CH"/>
        </w:rPr>
        <w:t> </w:t>
      </w:r>
      <w:r w:rsidRPr="00E4385B">
        <w:rPr>
          <w:rFonts w:ascii="Arial" w:hAnsi="Arial" w:cs="Arial"/>
          <w:b/>
          <w:i w:val="0"/>
          <w:sz w:val="22"/>
          <w:lang w:val="fr-CH"/>
        </w:rPr>
        <w:t>13</w:t>
      </w:r>
      <w:r w:rsidRPr="00E4385B">
        <w:rPr>
          <w:rFonts w:ascii="Arial" w:hAnsi="Arial" w:cs="Arial"/>
          <w:b/>
          <w:sz w:val="22"/>
          <w:lang w:val="fr-CH"/>
        </w:rPr>
        <w:tab/>
      </w:r>
      <w:r w:rsidR="00907BAB">
        <w:rPr>
          <w:rFonts w:ascii="Arial" w:hAnsi="Arial" w:cs="Arial"/>
          <w:b/>
          <w:i w:val="0"/>
          <w:sz w:val="22"/>
          <w:lang w:val="fr-CH"/>
        </w:rPr>
        <w:t>Délimitation</w:t>
      </w:r>
      <w:r w:rsidR="00DC7146" w:rsidRPr="00DC7146">
        <w:rPr>
          <w:rFonts w:ascii="Arial" w:hAnsi="Arial" w:cs="Arial"/>
          <w:b/>
          <w:i w:val="0"/>
          <w:sz w:val="22"/>
          <w:lang w:val="fr-CH"/>
        </w:rPr>
        <w:t xml:space="preserve"> des prestations commandées</w:t>
      </w:r>
    </w:p>
    <w:p w14:paraId="5B76151F" w14:textId="62AC1C6C" w:rsidR="00DC7146" w:rsidRPr="00DC7146" w:rsidRDefault="00DC7146" w:rsidP="00DC7146">
      <w:pPr>
        <w:spacing w:before="80" w:line="240" w:lineRule="auto"/>
        <w:jc w:val="both"/>
        <w:rPr>
          <w:rFonts w:eastAsia="Times New Roman"/>
          <w:sz w:val="22"/>
          <w:lang w:val="fr-CH" w:eastAsia="de-DE"/>
        </w:rPr>
      </w:pPr>
      <w:r w:rsidRPr="00DC7146">
        <w:rPr>
          <w:rFonts w:eastAsia="Times New Roman"/>
          <w:sz w:val="22"/>
          <w:lang w:val="fr-CH" w:eastAsia="de-DE"/>
        </w:rPr>
        <w:t>La délimitation de l’infrastructure est régie par les art.</w:t>
      </w:r>
      <w:r>
        <w:rPr>
          <w:rFonts w:eastAsia="Times New Roman"/>
          <w:sz w:val="22"/>
          <w:lang w:val="fr-CH" w:eastAsia="de-DE"/>
        </w:rPr>
        <w:t> </w:t>
      </w:r>
      <w:r w:rsidRPr="00DC7146">
        <w:rPr>
          <w:rFonts w:eastAsia="Times New Roman"/>
          <w:sz w:val="22"/>
          <w:lang w:val="fr-CH" w:eastAsia="de-DE"/>
        </w:rPr>
        <w:t>62 et 64 LCdF. Cela signifie en particulier que les prestations suivantes ne doivent occasionner aucun coût direct ni indirect non couvert au secteur Infrastructure de l’entreprise dans le cadre de la présente convention</w:t>
      </w:r>
      <w:r>
        <w:rPr>
          <w:rFonts w:eastAsia="Times New Roman"/>
          <w:sz w:val="22"/>
          <w:lang w:val="fr-CH" w:eastAsia="de-DE"/>
        </w:rPr>
        <w:t> </w:t>
      </w:r>
      <w:r w:rsidRPr="00DC7146">
        <w:rPr>
          <w:rFonts w:eastAsia="Times New Roman"/>
          <w:sz w:val="22"/>
          <w:lang w:val="fr-CH" w:eastAsia="de-DE"/>
        </w:rPr>
        <w:t>:</w:t>
      </w:r>
    </w:p>
    <w:p w14:paraId="5C153574" w14:textId="7FCB4747"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a.</w:t>
      </w:r>
      <w:r w:rsidRPr="00DC7146">
        <w:rPr>
          <w:rFonts w:eastAsia="Times New Roman"/>
          <w:sz w:val="22"/>
          <w:lang w:val="fr-CH" w:eastAsia="de-DE"/>
        </w:rPr>
        <w:tab/>
        <w:t>distribution de titres de transport</w:t>
      </w:r>
      <w:r>
        <w:rPr>
          <w:rFonts w:eastAsia="Times New Roman"/>
          <w:sz w:val="22"/>
          <w:lang w:val="fr-CH" w:eastAsia="de-DE"/>
        </w:rPr>
        <w:t> </w:t>
      </w:r>
      <w:r w:rsidRPr="00DC7146">
        <w:rPr>
          <w:rFonts w:eastAsia="Times New Roman"/>
          <w:sz w:val="22"/>
          <w:lang w:val="fr-CH" w:eastAsia="de-DE"/>
        </w:rPr>
        <w:t>;</w:t>
      </w:r>
    </w:p>
    <w:p w14:paraId="34B09243" w14:textId="347A6C26"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b.</w:t>
      </w:r>
      <w:r w:rsidRPr="00DC7146">
        <w:rPr>
          <w:rFonts w:eastAsia="Times New Roman"/>
          <w:sz w:val="22"/>
          <w:lang w:val="fr-CH" w:eastAsia="de-DE"/>
        </w:rPr>
        <w:tab/>
        <w:t>construction, exploitation et entretien d’installations de production de courant</w:t>
      </w:r>
      <w:r>
        <w:rPr>
          <w:rFonts w:eastAsia="Times New Roman"/>
          <w:sz w:val="22"/>
          <w:lang w:val="fr-CH" w:eastAsia="de-DE"/>
        </w:rPr>
        <w:t> </w:t>
      </w:r>
      <w:r w:rsidRPr="00DC7146">
        <w:rPr>
          <w:rFonts w:eastAsia="Times New Roman"/>
          <w:sz w:val="22"/>
          <w:lang w:val="fr-CH" w:eastAsia="de-DE"/>
        </w:rPr>
        <w:t>;</w:t>
      </w:r>
    </w:p>
    <w:p w14:paraId="74E7D620" w14:textId="646820C4"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c.</w:t>
      </w:r>
      <w:r w:rsidRPr="00DC7146">
        <w:rPr>
          <w:rFonts w:eastAsia="Times New Roman"/>
          <w:sz w:val="22"/>
          <w:lang w:val="fr-CH" w:eastAsia="de-DE"/>
        </w:rPr>
        <w:tab/>
        <w:t>construction, exploitation et entretien d’installations d’alimentation en eau ou en électricité à 50</w:t>
      </w:r>
      <w:r>
        <w:rPr>
          <w:rFonts w:eastAsia="Times New Roman"/>
          <w:sz w:val="22"/>
          <w:lang w:val="fr-CH" w:eastAsia="de-DE"/>
        </w:rPr>
        <w:t> </w:t>
      </w:r>
      <w:r w:rsidRPr="00DC7146">
        <w:rPr>
          <w:rFonts w:eastAsia="Times New Roman"/>
          <w:sz w:val="22"/>
          <w:lang w:val="fr-CH" w:eastAsia="de-DE"/>
        </w:rPr>
        <w:t>Hz, dans la mesure où les besoins propres sont couverts</w:t>
      </w:r>
      <w:r>
        <w:rPr>
          <w:rFonts w:eastAsia="Times New Roman"/>
          <w:sz w:val="22"/>
          <w:lang w:val="fr-CH" w:eastAsia="de-DE"/>
        </w:rPr>
        <w:t> </w:t>
      </w:r>
      <w:r w:rsidRPr="00DC7146">
        <w:rPr>
          <w:rFonts w:eastAsia="Times New Roman"/>
          <w:sz w:val="22"/>
          <w:lang w:val="fr-CH" w:eastAsia="de-DE"/>
        </w:rPr>
        <w:t>;</w:t>
      </w:r>
    </w:p>
    <w:p w14:paraId="7D0E75E5" w14:textId="1CDB74AC"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d.</w:t>
      </w:r>
      <w:r w:rsidRPr="00DC7146">
        <w:rPr>
          <w:rFonts w:eastAsia="Times New Roman"/>
          <w:sz w:val="22"/>
          <w:lang w:val="fr-CH" w:eastAsia="de-DE"/>
        </w:rPr>
        <w:tab/>
        <w:t>investissements, entretien et exploitation de l’infrastructure des systèmes d’information des clients qui vont au-delà des normes élabor</w:t>
      </w:r>
      <w:r>
        <w:rPr>
          <w:rFonts w:eastAsia="Times New Roman"/>
          <w:sz w:val="22"/>
          <w:lang w:val="fr-CH" w:eastAsia="de-DE"/>
        </w:rPr>
        <w:t>ées</w:t>
      </w:r>
      <w:r w:rsidRPr="00DC7146">
        <w:rPr>
          <w:rFonts w:eastAsia="Times New Roman"/>
          <w:sz w:val="22"/>
          <w:lang w:val="fr-CH" w:eastAsia="de-DE"/>
        </w:rPr>
        <w:t xml:space="preserve"> avec l’OFT et qui ne concernent pas les tâches systémiques relatives à l’information des clients</w:t>
      </w:r>
      <w:r>
        <w:rPr>
          <w:rFonts w:eastAsia="Times New Roman"/>
          <w:sz w:val="22"/>
          <w:lang w:val="fr-CH" w:eastAsia="de-DE"/>
        </w:rPr>
        <w:t> </w:t>
      </w:r>
      <w:r w:rsidRPr="00DC7146">
        <w:rPr>
          <w:rFonts w:eastAsia="Times New Roman"/>
          <w:sz w:val="22"/>
          <w:lang w:val="fr-CH" w:eastAsia="de-DE"/>
        </w:rPr>
        <w:t>;</w:t>
      </w:r>
    </w:p>
    <w:p w14:paraId="2ECDBE2A" w14:textId="72B5FA54"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e.</w:t>
      </w:r>
      <w:r w:rsidRPr="00DC7146">
        <w:rPr>
          <w:rFonts w:eastAsia="Times New Roman"/>
          <w:sz w:val="22"/>
          <w:lang w:val="fr-CH" w:eastAsia="de-DE"/>
        </w:rPr>
        <w:tab/>
        <w:t>construction et exploitation d’installations destinées au tra</w:t>
      </w:r>
      <w:r>
        <w:rPr>
          <w:rFonts w:eastAsia="Times New Roman"/>
          <w:sz w:val="22"/>
          <w:lang w:val="fr-CH" w:eastAsia="de-DE"/>
        </w:rPr>
        <w:t>nsport par</w:t>
      </w:r>
      <w:r w:rsidRPr="00DC7146">
        <w:rPr>
          <w:rFonts w:eastAsia="Times New Roman"/>
          <w:sz w:val="22"/>
          <w:lang w:val="fr-CH" w:eastAsia="de-DE"/>
        </w:rPr>
        <w:t xml:space="preserve"> bus et au trafic routier individuel (par ex. installations </w:t>
      </w:r>
      <w:proofErr w:type="spellStart"/>
      <w:r w:rsidRPr="00DC7146">
        <w:rPr>
          <w:rFonts w:eastAsia="Times New Roman"/>
          <w:i/>
          <w:iCs/>
          <w:sz w:val="22"/>
          <w:lang w:val="fr-CH" w:eastAsia="de-DE"/>
        </w:rPr>
        <w:t>Park&amp;Ride</w:t>
      </w:r>
      <w:proofErr w:type="spellEnd"/>
      <w:r w:rsidRPr="00DC7146">
        <w:rPr>
          <w:rFonts w:eastAsia="Times New Roman"/>
          <w:sz w:val="22"/>
          <w:lang w:val="fr-CH" w:eastAsia="de-DE"/>
        </w:rPr>
        <w:t>)</w:t>
      </w:r>
      <w:r>
        <w:rPr>
          <w:rFonts w:eastAsia="Times New Roman"/>
          <w:sz w:val="22"/>
          <w:lang w:val="fr-CH" w:eastAsia="de-DE"/>
        </w:rPr>
        <w:t> </w:t>
      </w:r>
      <w:r w:rsidRPr="00DC7146">
        <w:rPr>
          <w:rFonts w:eastAsia="Times New Roman"/>
          <w:sz w:val="22"/>
          <w:lang w:val="fr-CH" w:eastAsia="de-DE"/>
        </w:rPr>
        <w:t>;</w:t>
      </w:r>
    </w:p>
    <w:p w14:paraId="2605215C" w14:textId="0D5CFBC4"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f.</w:t>
      </w:r>
      <w:r w:rsidRPr="00DC7146">
        <w:rPr>
          <w:rFonts w:eastAsia="Times New Roman"/>
          <w:sz w:val="22"/>
          <w:lang w:val="fr-CH" w:eastAsia="de-DE"/>
        </w:rPr>
        <w:tab/>
        <w:t xml:space="preserve">construction et exploitation </w:t>
      </w:r>
      <w:r>
        <w:rPr>
          <w:rFonts w:eastAsia="Times New Roman"/>
          <w:sz w:val="22"/>
          <w:lang w:val="fr-CH" w:eastAsia="de-DE"/>
        </w:rPr>
        <w:t>d’installations de transbordement</w:t>
      </w:r>
      <w:r w:rsidRPr="00DC7146">
        <w:rPr>
          <w:rFonts w:eastAsia="Times New Roman"/>
          <w:sz w:val="22"/>
          <w:lang w:val="fr-CH" w:eastAsia="de-DE"/>
        </w:rPr>
        <w:t xml:space="preserve"> pour le transport combiné et de voies de raccordement conformément à la LTM</w:t>
      </w:r>
      <w:r>
        <w:rPr>
          <w:rFonts w:eastAsia="Times New Roman"/>
          <w:sz w:val="22"/>
          <w:lang w:val="fr-CH" w:eastAsia="de-DE"/>
        </w:rPr>
        <w:t> </w:t>
      </w:r>
      <w:r w:rsidRPr="00DC7146">
        <w:rPr>
          <w:rFonts w:eastAsia="Times New Roman"/>
          <w:sz w:val="22"/>
          <w:lang w:val="fr-CH" w:eastAsia="de-DE"/>
        </w:rPr>
        <w:t xml:space="preserve">; </w:t>
      </w:r>
    </w:p>
    <w:p w14:paraId="2DDD8091" w14:textId="5337750B"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g.</w:t>
      </w:r>
      <w:r w:rsidRPr="00DC7146">
        <w:rPr>
          <w:rFonts w:eastAsia="Times New Roman"/>
          <w:sz w:val="22"/>
          <w:lang w:val="fr-CH" w:eastAsia="de-DE"/>
        </w:rPr>
        <w:tab/>
        <w:t>prestations de service (conformément à l’art.</w:t>
      </w:r>
      <w:r>
        <w:rPr>
          <w:rFonts w:eastAsia="Times New Roman"/>
          <w:sz w:val="22"/>
          <w:lang w:val="fr-CH" w:eastAsia="de-DE"/>
        </w:rPr>
        <w:t> </w:t>
      </w:r>
      <w:r w:rsidRPr="00DC7146">
        <w:rPr>
          <w:rFonts w:eastAsia="Times New Roman"/>
          <w:sz w:val="22"/>
          <w:lang w:val="fr-CH" w:eastAsia="de-DE"/>
        </w:rPr>
        <w:t>23 OARF) pour les ETF</w:t>
      </w:r>
      <w:r>
        <w:rPr>
          <w:rFonts w:eastAsia="Times New Roman"/>
          <w:sz w:val="22"/>
          <w:lang w:val="fr-CH" w:eastAsia="de-DE"/>
        </w:rPr>
        <w:t> </w:t>
      </w:r>
      <w:r w:rsidRPr="00DC7146">
        <w:rPr>
          <w:rFonts w:eastAsia="Times New Roman"/>
          <w:sz w:val="22"/>
          <w:lang w:val="fr-CH" w:eastAsia="de-DE"/>
        </w:rPr>
        <w:t>;</w:t>
      </w:r>
    </w:p>
    <w:p w14:paraId="259A12B8" w14:textId="1191FCF1"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h.</w:t>
      </w:r>
      <w:r w:rsidRPr="00DC7146">
        <w:rPr>
          <w:rFonts w:eastAsia="Times New Roman"/>
          <w:sz w:val="22"/>
          <w:lang w:val="fr-CH" w:eastAsia="de-DE"/>
        </w:rPr>
        <w:tab/>
        <w:t>reprise partielle de tâches (coûts) qui ne sont pas en rapport avec le secteur Infrastructure</w:t>
      </w:r>
      <w:r>
        <w:rPr>
          <w:rFonts w:eastAsia="Times New Roman"/>
          <w:sz w:val="22"/>
          <w:lang w:val="fr-CH" w:eastAsia="de-DE"/>
        </w:rPr>
        <w:t> </w:t>
      </w:r>
      <w:r w:rsidRPr="00DC7146">
        <w:rPr>
          <w:rFonts w:eastAsia="Times New Roman"/>
          <w:sz w:val="22"/>
          <w:lang w:val="fr-CH" w:eastAsia="de-DE"/>
        </w:rPr>
        <w:t>;</w:t>
      </w:r>
    </w:p>
    <w:p w14:paraId="22CCE0BB" w14:textId="4B90253C"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i.</w:t>
      </w:r>
      <w:r w:rsidRPr="00DC7146">
        <w:rPr>
          <w:rFonts w:eastAsia="Times New Roman"/>
          <w:sz w:val="22"/>
          <w:lang w:val="fr-CH" w:eastAsia="de-DE"/>
        </w:rPr>
        <w:tab/>
        <w:t>financement</w:t>
      </w:r>
      <w:r>
        <w:rPr>
          <w:rFonts w:eastAsia="Times New Roman"/>
          <w:sz w:val="22"/>
          <w:lang w:val="fr-CH" w:eastAsia="de-DE"/>
        </w:rPr>
        <w:t>s</w:t>
      </w:r>
      <w:r w:rsidRPr="00DC7146">
        <w:rPr>
          <w:rFonts w:eastAsia="Times New Roman"/>
          <w:sz w:val="22"/>
          <w:lang w:val="fr-CH" w:eastAsia="de-DE"/>
        </w:rPr>
        <w:t xml:space="preserve"> préalable</w:t>
      </w:r>
      <w:r>
        <w:rPr>
          <w:rFonts w:eastAsia="Times New Roman"/>
          <w:sz w:val="22"/>
          <w:lang w:val="fr-CH" w:eastAsia="de-DE"/>
        </w:rPr>
        <w:t>s</w:t>
      </w:r>
      <w:r w:rsidRPr="00DC7146">
        <w:rPr>
          <w:rFonts w:eastAsia="Times New Roman"/>
          <w:sz w:val="22"/>
          <w:lang w:val="fr-CH" w:eastAsia="de-DE"/>
        </w:rPr>
        <w:t xml:space="preserve"> d’investissements</w:t>
      </w:r>
      <w:r>
        <w:rPr>
          <w:rFonts w:eastAsia="Times New Roman"/>
          <w:sz w:val="22"/>
          <w:lang w:val="fr-CH" w:eastAsia="de-DE"/>
        </w:rPr>
        <w:t> </w:t>
      </w:r>
      <w:r w:rsidRPr="00DC7146">
        <w:rPr>
          <w:rFonts w:eastAsia="Times New Roman"/>
          <w:sz w:val="22"/>
          <w:lang w:val="fr-CH" w:eastAsia="de-DE"/>
        </w:rPr>
        <w:t>;</w:t>
      </w:r>
    </w:p>
    <w:p w14:paraId="28D62F24" w14:textId="64F2C7B8" w:rsidR="00DC7146" w:rsidRPr="00DC7146" w:rsidRDefault="00DC7146" w:rsidP="00DC7146">
      <w:pPr>
        <w:tabs>
          <w:tab w:val="left" w:pos="567"/>
        </w:tabs>
        <w:spacing w:before="80" w:line="240" w:lineRule="auto"/>
        <w:ind w:left="567" w:hanging="357"/>
        <w:jc w:val="both"/>
        <w:rPr>
          <w:rFonts w:eastAsia="Times New Roman"/>
          <w:sz w:val="22"/>
          <w:lang w:val="fr-CH" w:eastAsia="de-DE"/>
        </w:rPr>
      </w:pPr>
      <w:r w:rsidRPr="00DC7146">
        <w:rPr>
          <w:rFonts w:eastAsia="Times New Roman"/>
          <w:sz w:val="22"/>
          <w:lang w:val="fr-CH" w:eastAsia="de-DE"/>
        </w:rPr>
        <w:t>j.</w:t>
      </w:r>
      <w:r w:rsidRPr="00DC7146">
        <w:rPr>
          <w:rFonts w:eastAsia="Times New Roman"/>
          <w:sz w:val="22"/>
          <w:lang w:val="fr-CH" w:eastAsia="de-DE"/>
        </w:rPr>
        <w:tab/>
        <w:t>planification à l’échelle nationale du réseau ainsi que construction, exploitation et entretien de l’alimentation en courant de traction 132</w:t>
      </w:r>
      <w:r>
        <w:rPr>
          <w:rFonts w:eastAsia="Times New Roman"/>
          <w:sz w:val="22"/>
          <w:lang w:val="fr-CH" w:eastAsia="de-DE"/>
        </w:rPr>
        <w:t> </w:t>
      </w:r>
      <w:r w:rsidRPr="00DC7146">
        <w:rPr>
          <w:rFonts w:eastAsia="Times New Roman"/>
          <w:sz w:val="22"/>
          <w:lang w:val="fr-CH" w:eastAsia="de-DE"/>
        </w:rPr>
        <w:t>kV/16,7</w:t>
      </w:r>
      <w:r>
        <w:rPr>
          <w:rFonts w:eastAsia="Times New Roman"/>
          <w:sz w:val="22"/>
          <w:lang w:val="fr-CH" w:eastAsia="de-DE"/>
        </w:rPr>
        <w:t> </w:t>
      </w:r>
      <w:r w:rsidRPr="00DC7146">
        <w:rPr>
          <w:rFonts w:eastAsia="Times New Roman"/>
          <w:sz w:val="22"/>
          <w:lang w:val="fr-CH" w:eastAsia="de-DE"/>
        </w:rPr>
        <w:t>Hz</w:t>
      </w:r>
      <w:r>
        <w:rPr>
          <w:rFonts w:eastAsia="Times New Roman"/>
          <w:sz w:val="22"/>
          <w:lang w:val="fr-CH" w:eastAsia="de-DE"/>
        </w:rPr>
        <w:t xml:space="preserve"> [</w:t>
      </w:r>
      <w:proofErr w:type="spellStart"/>
      <w:r>
        <w:rPr>
          <w:rFonts w:eastAsia="Times New Roman"/>
          <w:sz w:val="22"/>
          <w:lang w:val="fr-CH" w:eastAsia="de-DE"/>
        </w:rPr>
        <w:t>RhB</w:t>
      </w:r>
      <w:proofErr w:type="spellEnd"/>
      <w:r>
        <w:rPr>
          <w:rFonts w:eastAsia="Times New Roman"/>
          <w:sz w:val="22"/>
          <w:lang w:val="fr-CH" w:eastAsia="de-DE"/>
        </w:rPr>
        <w:t xml:space="preserve"> uniquement</w:t>
      </w:r>
      <w:proofErr w:type="gramStart"/>
      <w:r>
        <w:rPr>
          <w:rFonts w:eastAsia="Times New Roman"/>
          <w:sz w:val="22"/>
          <w:lang w:val="fr-CH" w:eastAsia="de-DE"/>
        </w:rPr>
        <w:t>]</w:t>
      </w:r>
      <w:r w:rsidRPr="00DC7146">
        <w:rPr>
          <w:rFonts w:eastAsia="Times New Roman"/>
          <w:sz w:val="22"/>
          <w:lang w:val="fr-CH" w:eastAsia="de-DE"/>
        </w:rPr>
        <w:t>;</w:t>
      </w:r>
      <w:proofErr w:type="gramEnd"/>
    </w:p>
    <w:p w14:paraId="3BDB3D50" w14:textId="77777777" w:rsidR="00DC7146" w:rsidRPr="00DC7146" w:rsidRDefault="00DC7146" w:rsidP="00DC7146">
      <w:pPr>
        <w:numPr>
          <w:ilvl w:val="0"/>
          <w:numId w:val="12"/>
        </w:numPr>
        <w:tabs>
          <w:tab w:val="left" w:pos="567"/>
        </w:tabs>
        <w:spacing w:before="80" w:line="240" w:lineRule="auto"/>
        <w:ind w:left="567" w:hanging="425"/>
        <w:jc w:val="both"/>
        <w:rPr>
          <w:rFonts w:eastAsia="Times New Roman"/>
          <w:sz w:val="22"/>
          <w:lang w:val="fr-CH" w:eastAsia="de-DE"/>
        </w:rPr>
      </w:pPr>
      <w:proofErr w:type="gramStart"/>
      <w:r w:rsidRPr="00DC7146">
        <w:rPr>
          <w:rFonts w:eastAsia="Times New Roman"/>
          <w:sz w:val="22"/>
          <w:lang w:val="fr-CH" w:eastAsia="de-DE"/>
        </w:rPr>
        <w:t>primes</w:t>
      </w:r>
      <w:proofErr w:type="gramEnd"/>
      <w:r w:rsidRPr="00DC7146">
        <w:rPr>
          <w:rFonts w:eastAsia="Times New Roman"/>
          <w:sz w:val="22"/>
          <w:lang w:val="fr-CH" w:eastAsia="de-DE"/>
        </w:rPr>
        <w:t xml:space="preserve"> d’assurance des dommages causés par les forces naturelles, hormis les assurances cantonales obligatoires des bâtiments.</w:t>
      </w:r>
    </w:p>
    <w:p w14:paraId="24F14886" w14:textId="0DB7B3B6" w:rsidR="00243EBA" w:rsidRPr="00DC7146" w:rsidRDefault="00243EBA" w:rsidP="00DC7146">
      <w:pPr>
        <w:pStyle w:val="Struktur1"/>
        <w:spacing w:line="240" w:lineRule="auto"/>
        <w:rPr>
          <w:rFonts w:ascii="Arial" w:hAnsi="Arial" w:cs="Arial"/>
          <w:sz w:val="22"/>
          <w:szCs w:val="22"/>
          <w:lang w:val="fr-CH"/>
        </w:rPr>
      </w:pPr>
    </w:p>
    <w:p w14:paraId="5777F04E" w14:textId="47E5EC8C" w:rsidR="00243EBA" w:rsidRPr="00DC7146" w:rsidRDefault="00243EBA" w:rsidP="00617E6D">
      <w:pPr>
        <w:pStyle w:val="TitelArtikelKomm"/>
        <w:spacing w:line="360" w:lineRule="auto"/>
        <w:rPr>
          <w:rFonts w:ascii="Arial" w:hAnsi="Arial" w:cs="Arial"/>
          <w:b/>
          <w:sz w:val="22"/>
          <w:lang w:val="fr-CH"/>
        </w:rPr>
      </w:pPr>
      <w:r w:rsidRPr="00DC7146">
        <w:rPr>
          <w:rFonts w:ascii="Arial" w:hAnsi="Arial" w:cs="Arial"/>
          <w:b/>
          <w:i w:val="0"/>
          <w:sz w:val="22"/>
          <w:lang w:val="fr-CH"/>
        </w:rPr>
        <w:t>Art.</w:t>
      </w:r>
      <w:r w:rsidR="00DC7146" w:rsidRPr="00DC7146">
        <w:rPr>
          <w:rFonts w:ascii="Arial" w:hAnsi="Arial" w:cs="Arial"/>
          <w:b/>
          <w:i w:val="0"/>
          <w:sz w:val="22"/>
          <w:lang w:val="fr-CH"/>
        </w:rPr>
        <w:t> </w:t>
      </w:r>
      <w:r w:rsidRPr="00DC7146">
        <w:rPr>
          <w:rFonts w:ascii="Arial" w:hAnsi="Arial" w:cs="Arial"/>
          <w:b/>
          <w:i w:val="0"/>
          <w:sz w:val="22"/>
          <w:lang w:val="fr-CH"/>
        </w:rPr>
        <w:t>14</w:t>
      </w:r>
      <w:r w:rsidRPr="00DC7146">
        <w:rPr>
          <w:rFonts w:ascii="Arial" w:hAnsi="Arial" w:cs="Arial"/>
          <w:b/>
          <w:sz w:val="22"/>
          <w:lang w:val="fr-CH"/>
        </w:rPr>
        <w:tab/>
      </w:r>
      <w:r w:rsidR="00DC7146" w:rsidRPr="00DC7146">
        <w:rPr>
          <w:rFonts w:ascii="Arial" w:hAnsi="Arial" w:cs="Arial"/>
          <w:b/>
          <w:i w:val="0"/>
          <w:sz w:val="22"/>
          <w:lang w:val="fr-CH"/>
        </w:rPr>
        <w:t>Tâches systémiques (tâches d’ordre supérieur)</w:t>
      </w:r>
    </w:p>
    <w:p w14:paraId="38571BE1" w14:textId="258F3F66" w:rsidR="009A1F96" w:rsidRPr="00DC7146" w:rsidRDefault="00DC7146" w:rsidP="009A1F96">
      <w:pPr>
        <w:pStyle w:val="Struktur1"/>
        <w:spacing w:line="240" w:lineRule="auto"/>
        <w:rPr>
          <w:rFonts w:ascii="Arial" w:hAnsi="Arial" w:cs="Arial"/>
          <w:sz w:val="22"/>
          <w:szCs w:val="22"/>
          <w:lang w:val="fr-CH"/>
        </w:rPr>
      </w:pPr>
      <w:r>
        <w:rPr>
          <w:rFonts w:ascii="Arial" w:hAnsi="Arial" w:cs="Arial"/>
          <w:sz w:val="22"/>
          <w:szCs w:val="22"/>
          <w:lang w:val="fr-CH"/>
        </w:rPr>
        <w:t>Caduc</w:t>
      </w:r>
      <w:r w:rsidR="002E6FEF" w:rsidRPr="00DC7146">
        <w:rPr>
          <w:rFonts w:ascii="Arial" w:hAnsi="Arial" w:cs="Arial"/>
          <w:sz w:val="22"/>
          <w:szCs w:val="22"/>
          <w:lang w:val="fr-CH"/>
        </w:rPr>
        <w:t xml:space="preserve">, </w:t>
      </w:r>
      <w:r>
        <w:rPr>
          <w:rFonts w:ascii="Arial" w:hAnsi="Arial" w:cs="Arial"/>
          <w:sz w:val="22"/>
          <w:szCs w:val="22"/>
          <w:lang w:val="fr-CH"/>
        </w:rPr>
        <w:t>traitées à l’art. 4, al. 5</w:t>
      </w:r>
    </w:p>
    <w:p w14:paraId="39B5F129" w14:textId="0E8A2EB1" w:rsidR="008E39FF" w:rsidRPr="00DC7146" w:rsidRDefault="008E39FF" w:rsidP="008E39FF">
      <w:pPr>
        <w:pStyle w:val="Struktur1"/>
        <w:spacing w:line="240" w:lineRule="auto"/>
        <w:rPr>
          <w:rFonts w:ascii="Arial" w:hAnsi="Arial" w:cs="Arial"/>
          <w:sz w:val="22"/>
          <w:szCs w:val="22"/>
          <w:lang w:val="fr-CH"/>
        </w:rPr>
      </w:pPr>
    </w:p>
    <w:p w14:paraId="13F17542" w14:textId="30660C32" w:rsidR="00243EBA" w:rsidRPr="00DC7146" w:rsidRDefault="00DC7146" w:rsidP="000A0102">
      <w:pPr>
        <w:pStyle w:val="TitelAnhKurztit"/>
        <w:spacing w:line="240" w:lineRule="auto"/>
        <w:rPr>
          <w:rFonts w:ascii="Arial" w:hAnsi="Arial" w:cs="Arial"/>
          <w:sz w:val="24"/>
          <w:lang w:val="fr-CH"/>
        </w:rPr>
      </w:pPr>
      <w:r w:rsidRPr="00DC7146">
        <w:rPr>
          <w:rFonts w:ascii="Arial" w:hAnsi="Arial" w:cs="Arial"/>
          <w:sz w:val="24"/>
          <w:lang w:val="fr-CH"/>
        </w:rPr>
        <w:t>Section 5</w:t>
      </w:r>
      <w:r w:rsidRPr="00DC7146">
        <w:rPr>
          <w:rFonts w:ascii="Arial" w:hAnsi="Arial" w:cs="Arial"/>
          <w:sz w:val="24"/>
          <w:lang w:val="fr-CH"/>
        </w:rPr>
        <w:tab/>
        <w:t>Cadre financier</w:t>
      </w:r>
    </w:p>
    <w:p w14:paraId="312C23C5" w14:textId="6BF69FEA" w:rsidR="00243EBA" w:rsidRPr="00DC7146" w:rsidRDefault="00243EBA" w:rsidP="00617E6D">
      <w:pPr>
        <w:pStyle w:val="TitelArtikelKomm"/>
        <w:spacing w:line="360" w:lineRule="auto"/>
        <w:rPr>
          <w:rFonts w:ascii="Arial" w:hAnsi="Arial" w:cs="Arial"/>
          <w:b/>
          <w:sz w:val="22"/>
          <w:lang w:val="fr-CH"/>
        </w:rPr>
      </w:pPr>
      <w:r w:rsidRPr="00DC7146">
        <w:rPr>
          <w:rFonts w:ascii="Arial" w:hAnsi="Arial" w:cs="Arial"/>
          <w:b/>
          <w:i w:val="0"/>
          <w:sz w:val="22"/>
          <w:lang w:val="fr-CH"/>
        </w:rPr>
        <w:t>Art.</w:t>
      </w:r>
      <w:r w:rsidR="00DC7146" w:rsidRPr="00DC7146">
        <w:rPr>
          <w:rFonts w:ascii="Arial" w:hAnsi="Arial" w:cs="Arial"/>
          <w:b/>
          <w:i w:val="0"/>
          <w:sz w:val="22"/>
          <w:lang w:val="fr-CH"/>
        </w:rPr>
        <w:t> </w:t>
      </w:r>
      <w:r w:rsidRPr="00DC7146">
        <w:rPr>
          <w:rFonts w:ascii="Arial" w:hAnsi="Arial" w:cs="Arial"/>
          <w:b/>
          <w:i w:val="0"/>
          <w:sz w:val="22"/>
          <w:lang w:val="fr-CH"/>
        </w:rPr>
        <w:t>15</w:t>
      </w:r>
      <w:r w:rsidRPr="00DC7146">
        <w:rPr>
          <w:rFonts w:ascii="Arial" w:hAnsi="Arial" w:cs="Arial"/>
          <w:b/>
          <w:sz w:val="22"/>
          <w:lang w:val="fr-CH"/>
        </w:rPr>
        <w:tab/>
      </w:r>
      <w:r w:rsidRPr="00DC7146">
        <w:rPr>
          <w:rFonts w:ascii="Arial" w:hAnsi="Arial" w:cs="Arial"/>
          <w:b/>
          <w:i w:val="0"/>
          <w:sz w:val="22"/>
          <w:lang w:val="fr-CH"/>
        </w:rPr>
        <w:t>Subvention</w:t>
      </w:r>
      <w:r w:rsidR="00DC7146" w:rsidRPr="00DC7146">
        <w:rPr>
          <w:rFonts w:ascii="Arial" w:hAnsi="Arial" w:cs="Arial"/>
          <w:b/>
          <w:i w:val="0"/>
          <w:sz w:val="22"/>
          <w:lang w:val="fr-CH"/>
        </w:rPr>
        <w:t>s</w:t>
      </w:r>
    </w:p>
    <w:p w14:paraId="3B917699" w14:textId="2D0475EC" w:rsidR="00DC7146" w:rsidRPr="00DC7146" w:rsidRDefault="00DC7146" w:rsidP="00DC7146">
      <w:pPr>
        <w:spacing w:before="80" w:line="240" w:lineRule="auto"/>
        <w:jc w:val="both"/>
        <w:rPr>
          <w:rFonts w:eastAsia="Times New Roman"/>
          <w:sz w:val="22"/>
          <w:lang w:val="fr-CH" w:eastAsia="de-DE"/>
        </w:rPr>
      </w:pPr>
      <w:r w:rsidRPr="00DC7146">
        <w:rPr>
          <w:rFonts w:eastAsia="Times New Roman"/>
          <w:sz w:val="22"/>
          <w:vertAlign w:val="superscript"/>
          <w:lang w:val="fr-CH" w:eastAsia="de-DE"/>
        </w:rPr>
        <w:t>1 </w:t>
      </w:r>
      <w:r w:rsidRPr="00DC7146">
        <w:rPr>
          <w:rFonts w:eastAsia="Times New Roman"/>
          <w:sz w:val="22"/>
          <w:lang w:val="fr-CH" w:eastAsia="de-DE"/>
        </w:rPr>
        <w:t>La Confédération alloue à l’entreprise, pour les années 202</w:t>
      </w:r>
      <w:r>
        <w:rPr>
          <w:rFonts w:eastAsia="Times New Roman"/>
          <w:sz w:val="22"/>
          <w:lang w:val="fr-CH" w:eastAsia="de-DE"/>
        </w:rPr>
        <w:t>5</w:t>
      </w:r>
      <w:r w:rsidRPr="00DC7146">
        <w:rPr>
          <w:rFonts w:eastAsia="Times New Roman"/>
          <w:sz w:val="22"/>
          <w:lang w:val="fr-CH" w:eastAsia="de-DE"/>
        </w:rPr>
        <w:t xml:space="preserve"> à 202</w:t>
      </w:r>
      <w:r>
        <w:rPr>
          <w:rFonts w:eastAsia="Times New Roman"/>
          <w:sz w:val="22"/>
          <w:lang w:val="fr-CH" w:eastAsia="de-DE"/>
        </w:rPr>
        <w:t>8</w:t>
      </w:r>
      <w:r w:rsidRPr="00DC7146">
        <w:rPr>
          <w:rFonts w:eastAsia="Times New Roman"/>
          <w:sz w:val="22"/>
          <w:lang w:val="fr-CH" w:eastAsia="de-DE"/>
        </w:rPr>
        <w:t>, les indemnités d’exploitation et les contributions d’investissement définies à l’art.</w:t>
      </w:r>
      <w:r>
        <w:rPr>
          <w:rFonts w:eastAsia="Times New Roman"/>
          <w:sz w:val="22"/>
          <w:lang w:val="fr-CH" w:eastAsia="de-DE"/>
        </w:rPr>
        <w:t> </w:t>
      </w:r>
      <w:r w:rsidRPr="00DC7146">
        <w:rPr>
          <w:rFonts w:eastAsia="Times New Roman"/>
          <w:sz w:val="22"/>
          <w:lang w:val="fr-CH" w:eastAsia="de-DE"/>
        </w:rPr>
        <w:t>17, al.</w:t>
      </w:r>
      <w:r>
        <w:rPr>
          <w:rFonts w:eastAsia="Times New Roman"/>
          <w:sz w:val="22"/>
          <w:lang w:val="fr-CH" w:eastAsia="de-DE"/>
        </w:rPr>
        <w:t> </w:t>
      </w:r>
      <w:r w:rsidRPr="00DC7146">
        <w:rPr>
          <w:rFonts w:eastAsia="Times New Roman"/>
          <w:sz w:val="22"/>
          <w:lang w:val="fr-CH" w:eastAsia="de-DE"/>
        </w:rPr>
        <w:t xml:space="preserve">1, qui correspondent à l’état de la planification au moment de la signature de la présente convention. </w:t>
      </w:r>
      <w:r>
        <w:rPr>
          <w:rFonts w:eastAsia="Times New Roman"/>
          <w:sz w:val="22"/>
          <w:lang w:val="fr-CH" w:eastAsia="de-DE"/>
        </w:rPr>
        <w:t>L’entreprise</w:t>
      </w:r>
      <w:r w:rsidRPr="00DC7146">
        <w:rPr>
          <w:rFonts w:eastAsia="Times New Roman"/>
          <w:sz w:val="22"/>
          <w:lang w:val="fr-CH" w:eastAsia="de-DE"/>
        </w:rPr>
        <w:t xml:space="preserve"> met à jour en permanence le besoin de fonds effectif dans la WDI en tenant compte des prescriptions définies aux art.</w:t>
      </w:r>
      <w:r w:rsidR="00F251C2">
        <w:rPr>
          <w:rFonts w:eastAsia="Times New Roman"/>
          <w:sz w:val="22"/>
          <w:lang w:val="fr-CH" w:eastAsia="de-DE"/>
        </w:rPr>
        <w:t> </w:t>
      </w:r>
      <w:r w:rsidRPr="00DC7146">
        <w:rPr>
          <w:rFonts w:eastAsia="Times New Roman"/>
          <w:sz w:val="22"/>
          <w:lang w:val="fr-CH" w:eastAsia="de-DE"/>
        </w:rPr>
        <w:t>16, 18 et 27. Ce sont toujours les indications valables et acceptées par l’OFT qui figurent dans la WDI qui sont déterminantes pour fixer le cadre financier valable pour la durée d’application de la présente convention.</w:t>
      </w:r>
    </w:p>
    <w:p w14:paraId="567FA558" w14:textId="5BB3EC89" w:rsidR="00DC7146" w:rsidRPr="00DC7146" w:rsidRDefault="00DC7146" w:rsidP="00DC7146">
      <w:pPr>
        <w:spacing w:before="80" w:line="240" w:lineRule="auto"/>
        <w:jc w:val="both"/>
        <w:rPr>
          <w:rFonts w:eastAsia="Times New Roman"/>
          <w:sz w:val="22"/>
          <w:lang w:val="fr-CH" w:eastAsia="de-DE"/>
        </w:rPr>
      </w:pPr>
      <w:r w:rsidRPr="00DC7146">
        <w:rPr>
          <w:rFonts w:eastAsia="Times New Roman"/>
          <w:sz w:val="22"/>
          <w:vertAlign w:val="superscript"/>
          <w:lang w:val="fr-CH" w:eastAsia="de-DE"/>
        </w:rPr>
        <w:t>2 </w:t>
      </w:r>
      <w:r w:rsidRPr="00DC7146">
        <w:rPr>
          <w:rFonts w:eastAsia="Times New Roman"/>
          <w:sz w:val="22"/>
          <w:lang w:val="fr-CH" w:eastAsia="de-DE"/>
        </w:rPr>
        <w:t xml:space="preserve">Conformément à l’art. 25 OCPF, l’entreprise indique jusqu’à la fin novembre </w:t>
      </w:r>
      <w:r w:rsidR="00F251C2">
        <w:rPr>
          <w:rFonts w:eastAsia="Times New Roman"/>
          <w:sz w:val="22"/>
          <w:lang w:val="fr-CH" w:eastAsia="de-DE"/>
        </w:rPr>
        <w:t>la répartition de la contribution d’investissement entre indemnités d’amortissement et prêt</w:t>
      </w:r>
      <w:r w:rsidR="00B35461">
        <w:rPr>
          <w:rFonts w:eastAsia="Times New Roman"/>
          <w:sz w:val="22"/>
          <w:lang w:val="fr-CH" w:eastAsia="de-DE"/>
        </w:rPr>
        <w:t xml:space="preserve"> dans la WDI</w:t>
      </w:r>
      <w:r w:rsidR="00F251C2">
        <w:rPr>
          <w:rFonts w:eastAsia="Times New Roman"/>
          <w:sz w:val="22"/>
          <w:lang w:val="fr-CH" w:eastAsia="de-DE"/>
        </w:rPr>
        <w:t>. Ce faisant, elle tient compte d</w:t>
      </w:r>
      <w:r w:rsidRPr="00DC7146">
        <w:rPr>
          <w:rFonts w:eastAsia="Times New Roman"/>
          <w:sz w:val="22"/>
          <w:lang w:val="fr-CH" w:eastAsia="de-DE"/>
        </w:rPr>
        <w:t xml:space="preserve">es frais d’amortissement effectifs ou estimés pour la période jusqu’à la fin de l’année ainsi que </w:t>
      </w:r>
      <w:r w:rsidR="00F251C2">
        <w:rPr>
          <w:rFonts w:eastAsia="Times New Roman"/>
          <w:sz w:val="22"/>
          <w:lang w:val="fr-CH" w:eastAsia="de-DE"/>
        </w:rPr>
        <w:t>d</w:t>
      </w:r>
      <w:r w:rsidRPr="00DC7146">
        <w:rPr>
          <w:rFonts w:eastAsia="Times New Roman"/>
          <w:sz w:val="22"/>
          <w:lang w:val="fr-CH" w:eastAsia="de-DE"/>
        </w:rPr>
        <w:t>es coûts d’investissement non activables (amortissements directs du compte des investissements [CINA]), déduction faite des contributions à fonds-perdus de tiers comptabilisées dans les CINA et d’autres produits de liquidation, y compris la TVA due au titre de ces indemnités. En fonction de cela, la répartition par l’OFT des contributions d’investissement en indemnités d’amortissement et en prêts est co</w:t>
      </w:r>
      <w:r w:rsidR="00F251C2">
        <w:rPr>
          <w:rFonts w:eastAsia="Times New Roman"/>
          <w:sz w:val="22"/>
          <w:lang w:val="fr-CH" w:eastAsia="de-DE"/>
        </w:rPr>
        <w:t xml:space="preserve">nfirmée à l’entreprise </w:t>
      </w:r>
      <w:r w:rsidRPr="00DC7146">
        <w:rPr>
          <w:rFonts w:eastAsia="Times New Roman"/>
          <w:sz w:val="22"/>
          <w:lang w:val="fr-CH" w:eastAsia="de-DE"/>
        </w:rPr>
        <w:t xml:space="preserve">par </w:t>
      </w:r>
      <w:r w:rsidRPr="00DC7146">
        <w:rPr>
          <w:rFonts w:eastAsia="Times New Roman"/>
          <w:sz w:val="22"/>
          <w:lang w:val="fr-CH" w:eastAsia="de-DE"/>
        </w:rPr>
        <w:lastRenderedPageBreak/>
        <w:t xml:space="preserve">courrier </w:t>
      </w:r>
      <w:r w:rsidR="00B35461">
        <w:rPr>
          <w:rFonts w:eastAsia="Times New Roman"/>
          <w:sz w:val="22"/>
          <w:lang w:val="fr-CH" w:eastAsia="de-DE"/>
        </w:rPr>
        <w:t>avant la</w:t>
      </w:r>
      <w:r w:rsidRPr="00DC7146">
        <w:rPr>
          <w:rFonts w:eastAsia="Times New Roman"/>
          <w:sz w:val="22"/>
          <w:lang w:val="fr-CH" w:eastAsia="de-DE"/>
        </w:rPr>
        <w:t xml:space="preserve"> fin janvier de l’année suivante. Le courrier de l’OFT doit être confirmé par </w:t>
      </w:r>
      <w:r w:rsidR="00F251C2">
        <w:rPr>
          <w:rFonts w:eastAsia="Times New Roman"/>
          <w:sz w:val="22"/>
          <w:lang w:val="fr-CH" w:eastAsia="de-DE"/>
        </w:rPr>
        <w:t>l’entreprise</w:t>
      </w:r>
      <w:r w:rsidRPr="00DC7146">
        <w:rPr>
          <w:rFonts w:eastAsia="Times New Roman"/>
          <w:sz w:val="22"/>
          <w:lang w:val="fr-CH" w:eastAsia="de-DE"/>
        </w:rPr>
        <w:t>. L’indemnité d’amortissement doit être comptabilisée sans incidence sur les résultats / les pertes en se basant sur les coûts effectivement survenus. Les corrections au niveau des prêts doivent être comptabilisées dans l’exercice suivant.</w:t>
      </w:r>
    </w:p>
    <w:p w14:paraId="48C3A47C" w14:textId="5ACDACD7"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DC7146">
        <w:rPr>
          <w:rFonts w:ascii="Arial" w:hAnsi="Arial" w:cs="Arial"/>
          <w:b/>
          <w:i w:val="0"/>
          <w:sz w:val="22"/>
          <w:lang w:val="fr-CH"/>
        </w:rPr>
        <w:t> </w:t>
      </w:r>
      <w:r w:rsidRPr="00E4385B">
        <w:rPr>
          <w:rFonts w:ascii="Arial" w:hAnsi="Arial" w:cs="Arial"/>
          <w:b/>
          <w:i w:val="0"/>
          <w:sz w:val="22"/>
          <w:lang w:val="fr-CH"/>
        </w:rPr>
        <w:t>16</w:t>
      </w:r>
      <w:r w:rsidRPr="00E4385B">
        <w:rPr>
          <w:rFonts w:ascii="Arial" w:hAnsi="Arial" w:cs="Arial"/>
          <w:b/>
          <w:sz w:val="22"/>
          <w:lang w:val="fr-CH"/>
        </w:rPr>
        <w:tab/>
      </w:r>
      <w:r w:rsidR="00F251C2" w:rsidRPr="00F251C2">
        <w:rPr>
          <w:rFonts w:ascii="Arial" w:hAnsi="Arial" w:cs="Arial"/>
          <w:b/>
          <w:i w:val="0"/>
          <w:sz w:val="22"/>
          <w:lang w:val="fr-CH"/>
        </w:rPr>
        <w:t>Affectation des fonds d’investissement disponibles</w:t>
      </w:r>
    </w:p>
    <w:p w14:paraId="480FF597" w14:textId="77777777" w:rsidR="00F251C2" w:rsidRPr="00F251C2" w:rsidRDefault="00F251C2" w:rsidP="00CB31E7">
      <w:pPr>
        <w:spacing w:before="80" w:line="240" w:lineRule="auto"/>
        <w:jc w:val="both"/>
        <w:rPr>
          <w:rFonts w:eastAsia="Times New Roman"/>
          <w:sz w:val="22"/>
          <w:lang w:val="fr-CH" w:eastAsia="de-DE"/>
        </w:rPr>
      </w:pPr>
      <w:r w:rsidRPr="00F251C2">
        <w:rPr>
          <w:rFonts w:eastAsia="Times New Roman"/>
          <w:sz w:val="22"/>
          <w:vertAlign w:val="superscript"/>
          <w:lang w:val="fr-CH" w:eastAsia="de-DE"/>
        </w:rPr>
        <w:t>1 </w:t>
      </w:r>
      <w:r w:rsidRPr="00F251C2">
        <w:rPr>
          <w:rFonts w:eastAsia="Times New Roman"/>
          <w:sz w:val="22"/>
          <w:lang w:val="fr-CH" w:eastAsia="de-DE"/>
        </w:rPr>
        <w:t>Les contributions d’investissement sont fondées sur une offre acceptée dans la WDI comportant les données financières et les délais figurant dans le plan des investissements de l’entreprise. Il est supposé dans ce cadre que l’entreprise respecte les normes et règles en vigueur pour les subventions et qu’elle dispose, lorsque cela s’avère nécessaire, d’une autorisation de construire entrée en force.</w:t>
      </w:r>
    </w:p>
    <w:p w14:paraId="274D79F9" w14:textId="77777777" w:rsidR="00F251C2" w:rsidRPr="00F251C2" w:rsidRDefault="00F251C2" w:rsidP="00CB31E7">
      <w:pPr>
        <w:spacing w:before="80" w:line="240" w:lineRule="auto"/>
        <w:jc w:val="both"/>
        <w:rPr>
          <w:rFonts w:eastAsia="Times New Roman"/>
          <w:sz w:val="22"/>
          <w:lang w:val="fr-CH" w:eastAsia="de-DE"/>
        </w:rPr>
      </w:pPr>
      <w:r w:rsidRPr="00F251C2">
        <w:rPr>
          <w:rFonts w:eastAsia="Times New Roman"/>
          <w:sz w:val="22"/>
          <w:lang w:val="fr-CH" w:eastAsia="de-DE"/>
        </w:rPr>
        <w:t>[Variante] Les projets ci-après, qui n’ont pas encore fait l’objet d’un projet de mise à l’enquête approuvé, sont soumis à la réserve de l’approbation par l’OFT préalablement à leur réalisation et de la disponibilité des fonds nécessaires. Ces projets doivent être considérés comme étant optionnels (liste des projets optionnels).</w:t>
      </w:r>
    </w:p>
    <w:p w14:paraId="624D104F" w14:textId="3C41423B" w:rsidR="00F251C2" w:rsidRPr="00F251C2" w:rsidRDefault="00F251C2" w:rsidP="00CB31E7">
      <w:pPr>
        <w:spacing w:before="80" w:line="240" w:lineRule="auto"/>
        <w:jc w:val="both"/>
        <w:rPr>
          <w:rFonts w:eastAsia="Times New Roman"/>
          <w:sz w:val="22"/>
          <w:lang w:val="fr-CH" w:eastAsia="de-DE"/>
        </w:rPr>
      </w:pPr>
      <w:r w:rsidRPr="00F251C2">
        <w:rPr>
          <w:rFonts w:eastAsia="Times New Roman"/>
          <w:sz w:val="22"/>
          <w:vertAlign w:val="superscript"/>
          <w:lang w:val="fr-CH" w:eastAsia="de-DE"/>
        </w:rPr>
        <w:t>2 </w:t>
      </w:r>
      <w:r w:rsidRPr="00F251C2">
        <w:rPr>
          <w:rFonts w:eastAsia="Times New Roman"/>
          <w:sz w:val="22"/>
          <w:lang w:val="fr-CH" w:eastAsia="de-DE"/>
        </w:rPr>
        <w:t xml:space="preserve">La liste des projets, acceptée </w:t>
      </w:r>
      <w:r w:rsidR="00CB31E7">
        <w:rPr>
          <w:rFonts w:eastAsia="Times New Roman"/>
          <w:sz w:val="22"/>
          <w:lang w:val="fr-CH" w:eastAsia="de-DE"/>
        </w:rPr>
        <w:t xml:space="preserve">par l’OFT </w:t>
      </w:r>
      <w:r w:rsidRPr="00F251C2">
        <w:rPr>
          <w:rFonts w:eastAsia="Times New Roman"/>
          <w:sz w:val="22"/>
          <w:lang w:val="fr-CH" w:eastAsia="de-DE"/>
        </w:rPr>
        <w:t>dans la WDI, de la planification à moyen terme des investissements est contraignante. Le plan des investissements doit être actualisé au moins annuellement. Les adaptations sur la liste des projets et des priorités ainsi que l’anticipation du début des travaux conformément à l’art.</w:t>
      </w:r>
      <w:r w:rsidR="00CB31E7">
        <w:rPr>
          <w:rFonts w:eastAsia="Times New Roman"/>
          <w:sz w:val="22"/>
          <w:lang w:val="fr-CH" w:eastAsia="de-DE"/>
        </w:rPr>
        <w:t> </w:t>
      </w:r>
      <w:r w:rsidRPr="00F251C2">
        <w:rPr>
          <w:rFonts w:eastAsia="Times New Roman"/>
          <w:sz w:val="22"/>
          <w:lang w:val="fr-CH" w:eastAsia="de-DE"/>
        </w:rPr>
        <w:t>26, al.</w:t>
      </w:r>
      <w:r w:rsidR="00CB31E7">
        <w:rPr>
          <w:rFonts w:eastAsia="Times New Roman"/>
          <w:sz w:val="22"/>
          <w:lang w:val="fr-CH" w:eastAsia="de-DE"/>
        </w:rPr>
        <w:t> </w:t>
      </w:r>
      <w:r w:rsidRPr="00F251C2">
        <w:rPr>
          <w:rFonts w:eastAsia="Times New Roman"/>
          <w:sz w:val="22"/>
          <w:lang w:val="fr-CH" w:eastAsia="de-DE"/>
        </w:rPr>
        <w:t>3, LSu, requièrent l’approbation de l’OFT dans la WDI. L’entreprise est habilitée à revoir les priorités des projets au sein d’un</w:t>
      </w:r>
      <w:r w:rsidR="00CB31E7">
        <w:rPr>
          <w:rFonts w:eastAsia="Times New Roman"/>
          <w:sz w:val="22"/>
          <w:lang w:val="fr-CH" w:eastAsia="de-DE"/>
        </w:rPr>
        <w:t>e</w:t>
      </w:r>
      <w:r w:rsidRPr="00F251C2">
        <w:rPr>
          <w:rFonts w:eastAsia="Times New Roman"/>
          <w:sz w:val="22"/>
          <w:lang w:val="fr-CH" w:eastAsia="de-DE"/>
        </w:rPr>
        <w:t xml:space="preserve"> </w:t>
      </w:r>
      <w:r w:rsidR="00CB31E7">
        <w:rPr>
          <w:rFonts w:eastAsia="Times New Roman"/>
          <w:sz w:val="22"/>
          <w:lang w:val="fr-CH" w:eastAsia="de-DE"/>
        </w:rPr>
        <w:t xml:space="preserve">catégorie </w:t>
      </w:r>
      <w:r w:rsidRPr="00F251C2">
        <w:rPr>
          <w:rFonts w:eastAsia="Times New Roman"/>
          <w:sz w:val="22"/>
          <w:lang w:val="fr-CH" w:eastAsia="de-DE"/>
        </w:rPr>
        <w:t>d’installation selon la RTE 29900. Aucun élément d’une autre catégorie d’installation, aucun ouvrage d’art (</w:t>
      </w:r>
      <w:r w:rsidR="00CB31E7">
        <w:rPr>
          <w:rFonts w:eastAsia="Times New Roman"/>
          <w:sz w:val="22"/>
          <w:lang w:val="fr-CH" w:eastAsia="de-DE"/>
        </w:rPr>
        <w:t>catégorie</w:t>
      </w:r>
      <w:r w:rsidRPr="00F251C2">
        <w:rPr>
          <w:rFonts w:eastAsia="Times New Roman"/>
          <w:sz w:val="22"/>
          <w:lang w:val="fr-CH" w:eastAsia="de-DE"/>
        </w:rPr>
        <w:t xml:space="preserve"> d’installation</w:t>
      </w:r>
      <w:r w:rsidR="00CB31E7">
        <w:rPr>
          <w:rFonts w:eastAsia="Times New Roman"/>
          <w:sz w:val="22"/>
          <w:lang w:val="fr-CH" w:eastAsia="de-DE"/>
        </w:rPr>
        <w:t>s</w:t>
      </w:r>
      <w:r w:rsidRPr="00F251C2">
        <w:rPr>
          <w:rFonts w:eastAsia="Times New Roman"/>
          <w:sz w:val="22"/>
          <w:lang w:val="fr-CH" w:eastAsia="de-DE"/>
        </w:rPr>
        <w:t xml:space="preserve"> principales Ponts et tunnels) ni aucune installation conformément à l’art.</w:t>
      </w:r>
      <w:r w:rsidR="00CB31E7">
        <w:rPr>
          <w:rFonts w:eastAsia="Times New Roman"/>
          <w:sz w:val="22"/>
          <w:lang w:val="fr-CH" w:eastAsia="de-DE"/>
        </w:rPr>
        <w:t> </w:t>
      </w:r>
      <w:r w:rsidRPr="00F251C2">
        <w:rPr>
          <w:rFonts w:eastAsia="Times New Roman"/>
          <w:sz w:val="22"/>
          <w:lang w:val="fr-CH" w:eastAsia="de-DE"/>
        </w:rPr>
        <w:t xml:space="preserve">62, al. 2, LCdF ne doit être concerné. </w:t>
      </w:r>
    </w:p>
    <w:p w14:paraId="41779226" w14:textId="77777777" w:rsidR="00F251C2" w:rsidRPr="00F251C2" w:rsidRDefault="00F251C2" w:rsidP="00CB31E7">
      <w:pPr>
        <w:spacing w:before="80" w:line="240" w:lineRule="auto"/>
        <w:jc w:val="both"/>
        <w:rPr>
          <w:rFonts w:eastAsia="Times New Roman"/>
          <w:sz w:val="22"/>
          <w:lang w:val="fr-CH" w:eastAsia="de-DE"/>
        </w:rPr>
      </w:pPr>
      <w:r w:rsidRPr="00F251C2">
        <w:rPr>
          <w:rFonts w:eastAsia="Times New Roman"/>
          <w:sz w:val="22"/>
          <w:vertAlign w:val="superscript"/>
          <w:lang w:val="fr-CH" w:eastAsia="de-DE"/>
        </w:rPr>
        <w:t>3 </w:t>
      </w:r>
      <w:r w:rsidRPr="00F251C2">
        <w:rPr>
          <w:rFonts w:eastAsia="Times New Roman"/>
          <w:sz w:val="22"/>
          <w:lang w:val="fr-CH" w:eastAsia="de-DE"/>
        </w:rPr>
        <w:t>Les surcoûts résultant de la protection des monuments par rapport à une méthode de construction standard optimisée doivent être attestés séparément. La sécurité doit être garantie et toutes les obligations légales respectées même lorsque les prescriptions de la protection des monuments sont appliquées.</w:t>
      </w:r>
    </w:p>
    <w:p w14:paraId="232E816A" w14:textId="14A0E494" w:rsidR="00F251C2" w:rsidRDefault="00F251C2" w:rsidP="00CB31E7">
      <w:pPr>
        <w:spacing w:before="80" w:line="240" w:lineRule="auto"/>
        <w:jc w:val="both"/>
        <w:rPr>
          <w:rFonts w:eastAsia="Times New Roman"/>
          <w:sz w:val="22"/>
          <w:lang w:val="fr-CH" w:eastAsia="de-DE"/>
        </w:rPr>
      </w:pPr>
      <w:r w:rsidRPr="00F251C2">
        <w:rPr>
          <w:rFonts w:eastAsia="Times New Roman"/>
          <w:sz w:val="22"/>
          <w:vertAlign w:val="superscript"/>
          <w:lang w:val="fr-CH" w:eastAsia="de-DE"/>
        </w:rPr>
        <w:t>4 </w:t>
      </w:r>
      <w:r w:rsidRPr="00F251C2">
        <w:rPr>
          <w:rFonts w:eastAsia="Times New Roman"/>
          <w:sz w:val="22"/>
          <w:lang w:val="fr-CH" w:eastAsia="de-DE"/>
        </w:rPr>
        <w:t>[pour les entreprises concernées avec options] La planification des options peut être financée par les moyens alloués dans la présente convention. Le financement de l’exécution des options requiert une révision des priorités dans la WDI avec, le cas échéant, un avenant à la présente convention.</w:t>
      </w:r>
    </w:p>
    <w:p w14:paraId="7B6DC606" w14:textId="7B3E1111" w:rsidR="00CB31E7" w:rsidRPr="00F251C2" w:rsidRDefault="00CB31E7" w:rsidP="00CB31E7">
      <w:pPr>
        <w:spacing w:before="80" w:line="240" w:lineRule="auto"/>
        <w:jc w:val="both"/>
        <w:rPr>
          <w:rFonts w:eastAsia="Times New Roman"/>
          <w:sz w:val="22"/>
          <w:lang w:val="fr-CH" w:eastAsia="de-DE"/>
        </w:rPr>
      </w:pPr>
      <w:r w:rsidRPr="00CB31E7">
        <w:rPr>
          <w:rFonts w:eastAsia="Times New Roman"/>
          <w:sz w:val="22"/>
          <w:vertAlign w:val="superscript"/>
          <w:lang w:val="fr-CH" w:eastAsia="de-DE"/>
        </w:rPr>
        <w:t>5°</w:t>
      </w:r>
      <w:r w:rsidRPr="00CB31E7">
        <w:rPr>
          <w:rFonts w:eastAsia="Times New Roman"/>
          <w:sz w:val="22"/>
          <w:lang w:val="fr-CH" w:eastAsia="de-DE"/>
        </w:rPr>
        <w:t xml:space="preserve">Les fonds destinés aux innovations ne peuvent être utilisés que dans la mesure où </w:t>
      </w:r>
      <w:r w:rsidR="00EE1215">
        <w:rPr>
          <w:rFonts w:eastAsia="Times New Roman"/>
          <w:sz w:val="22"/>
          <w:lang w:val="fr-CH" w:eastAsia="de-DE"/>
        </w:rPr>
        <w:t>l’OFT les a libérés</w:t>
      </w:r>
      <w:r w:rsidRPr="00CB31E7">
        <w:rPr>
          <w:rFonts w:eastAsia="Times New Roman"/>
          <w:sz w:val="22"/>
          <w:lang w:val="fr-CH" w:eastAsia="de-DE"/>
        </w:rPr>
        <w:t>.</w:t>
      </w:r>
    </w:p>
    <w:p w14:paraId="7A8790D9" w14:textId="7EAA4702" w:rsidR="00243EBA" w:rsidRPr="00BF5802" w:rsidRDefault="00CB31E7" w:rsidP="00CB31E7">
      <w:pPr>
        <w:spacing w:before="80" w:line="240" w:lineRule="auto"/>
        <w:jc w:val="both"/>
        <w:rPr>
          <w:sz w:val="22"/>
          <w:lang w:val="fr-CH"/>
        </w:rPr>
      </w:pPr>
      <w:r>
        <w:rPr>
          <w:rFonts w:eastAsia="Times New Roman"/>
          <w:sz w:val="22"/>
          <w:vertAlign w:val="superscript"/>
          <w:lang w:val="fr-CH" w:eastAsia="de-DE"/>
        </w:rPr>
        <w:t>6</w:t>
      </w:r>
      <w:r w:rsidR="00F251C2" w:rsidRPr="00F251C2">
        <w:rPr>
          <w:rFonts w:eastAsia="Times New Roman"/>
          <w:sz w:val="22"/>
          <w:vertAlign w:val="superscript"/>
          <w:lang w:val="fr-CH" w:eastAsia="de-DE"/>
        </w:rPr>
        <w:t> </w:t>
      </w:r>
      <w:r w:rsidR="00F251C2" w:rsidRPr="00F251C2">
        <w:rPr>
          <w:rFonts w:eastAsia="Times New Roman"/>
          <w:sz w:val="22"/>
          <w:lang w:val="fr-CH" w:eastAsia="de-DE"/>
        </w:rPr>
        <w:t>[pour les entreprises concernées] La Confédération et l’entreprise ont convenu de la réalisation des investissements d’extension suivants selon l’ancien droit avec un besoin de fonds de xxx millions de francs au total, issu du plafond de dépenses pour les années 202</w:t>
      </w:r>
      <w:r>
        <w:rPr>
          <w:rFonts w:eastAsia="Times New Roman"/>
          <w:sz w:val="22"/>
          <w:lang w:val="fr-CH" w:eastAsia="de-DE"/>
        </w:rPr>
        <w:t>5</w:t>
      </w:r>
      <w:r w:rsidR="00F251C2" w:rsidRPr="00F251C2">
        <w:rPr>
          <w:rFonts w:eastAsia="Times New Roman"/>
          <w:sz w:val="22"/>
          <w:lang w:val="fr-CH" w:eastAsia="de-DE"/>
        </w:rPr>
        <w:t xml:space="preserve"> à 202</w:t>
      </w:r>
      <w:r>
        <w:rPr>
          <w:rFonts w:eastAsia="Times New Roman"/>
          <w:sz w:val="22"/>
          <w:lang w:val="fr-CH" w:eastAsia="de-DE"/>
        </w:rPr>
        <w:t>8 </w:t>
      </w:r>
      <w:r w:rsidR="00F251C2" w:rsidRPr="00F251C2">
        <w:rPr>
          <w:rFonts w:eastAsia="Times New Roman"/>
          <w:sz w:val="22"/>
          <w:lang w:val="fr-CH" w:eastAsia="de-DE"/>
        </w:rPr>
        <w:t>: (liste des projets)</w:t>
      </w:r>
    </w:p>
    <w:p w14:paraId="3DCCC11B" w14:textId="24B83C84" w:rsidR="00243EBA" w:rsidRPr="00BF5802" w:rsidRDefault="00243EBA" w:rsidP="00617E6D">
      <w:pPr>
        <w:pStyle w:val="TitelArtikelKomm"/>
        <w:spacing w:line="360" w:lineRule="auto"/>
        <w:rPr>
          <w:rFonts w:ascii="Arial" w:hAnsi="Arial" w:cs="Arial"/>
          <w:b/>
          <w:sz w:val="22"/>
          <w:lang w:val="fr-CH"/>
        </w:rPr>
      </w:pPr>
      <w:r w:rsidRPr="00BF5802">
        <w:rPr>
          <w:rFonts w:ascii="Arial" w:hAnsi="Arial" w:cs="Arial"/>
          <w:b/>
          <w:i w:val="0"/>
          <w:sz w:val="22"/>
          <w:lang w:val="fr-CH"/>
        </w:rPr>
        <w:t>Art.</w:t>
      </w:r>
      <w:r w:rsidR="00CB31E7" w:rsidRPr="00BF5802">
        <w:rPr>
          <w:rFonts w:ascii="Arial" w:hAnsi="Arial" w:cs="Arial"/>
          <w:b/>
          <w:i w:val="0"/>
          <w:sz w:val="22"/>
          <w:lang w:val="fr-CH"/>
        </w:rPr>
        <w:t> </w:t>
      </w:r>
      <w:r w:rsidRPr="00BF5802">
        <w:rPr>
          <w:rFonts w:ascii="Arial" w:hAnsi="Arial" w:cs="Arial"/>
          <w:b/>
          <w:i w:val="0"/>
          <w:sz w:val="22"/>
          <w:lang w:val="fr-CH"/>
        </w:rPr>
        <w:t>17</w:t>
      </w:r>
      <w:r w:rsidRPr="00BF5802">
        <w:rPr>
          <w:rFonts w:ascii="Arial" w:hAnsi="Arial" w:cs="Arial"/>
          <w:b/>
          <w:sz w:val="22"/>
          <w:lang w:val="fr-CH"/>
        </w:rPr>
        <w:tab/>
      </w:r>
      <w:r w:rsidR="00E65B9A" w:rsidRPr="00E65B9A">
        <w:rPr>
          <w:rFonts w:ascii="Arial" w:hAnsi="Arial" w:cs="Arial"/>
          <w:b/>
          <w:i w:val="0"/>
          <w:sz w:val="22"/>
          <w:lang w:val="fr-CH"/>
        </w:rPr>
        <w:t>Cadre financier pour l’infrastructure de l’entreprise</w:t>
      </w:r>
    </w:p>
    <w:p w14:paraId="7318EE6A" w14:textId="5DEC4B3D" w:rsidR="009C3466" w:rsidRPr="00E65B9A" w:rsidRDefault="00E65B9A" w:rsidP="00347259">
      <w:pPr>
        <w:pStyle w:val="Absatz"/>
        <w:spacing w:line="240" w:lineRule="auto"/>
        <w:rPr>
          <w:rFonts w:ascii="Arial" w:hAnsi="Arial" w:cs="Arial"/>
          <w:sz w:val="22"/>
          <w:szCs w:val="22"/>
          <w:lang w:val="fr-CH"/>
        </w:rPr>
      </w:pPr>
      <w:r w:rsidRPr="00E65B9A">
        <w:rPr>
          <w:rFonts w:ascii="Arial" w:hAnsi="Arial" w:cs="Arial"/>
          <w:sz w:val="22"/>
          <w:szCs w:val="22"/>
          <w:vertAlign w:val="superscript"/>
          <w:lang w:val="fr-CH"/>
        </w:rPr>
        <w:t>1</w:t>
      </w:r>
      <w:r w:rsidR="00243EBA" w:rsidRPr="00E65B9A">
        <w:rPr>
          <w:rFonts w:ascii="Arial" w:hAnsi="Arial" w:cs="Arial"/>
          <w:sz w:val="22"/>
          <w:szCs w:val="22"/>
          <w:vertAlign w:val="superscript"/>
          <w:lang w:val="fr-CH"/>
        </w:rPr>
        <w:t> </w:t>
      </w:r>
      <w:r w:rsidRPr="00E65B9A">
        <w:rPr>
          <w:rFonts w:ascii="Arial" w:hAnsi="Arial" w:cs="Arial"/>
          <w:sz w:val="22"/>
          <w:szCs w:val="22"/>
          <w:lang w:val="fr-CH"/>
        </w:rPr>
        <w:t>La commande d’infrastructure prévue dans la présente convention repose sur l’offre du [JJ.MM.AAAA] acceptée par l’OFT dans la WDI.</w:t>
      </w:r>
    </w:p>
    <w:p w14:paraId="1E7F4EE6" w14:textId="77777777" w:rsidR="000612E9" w:rsidRPr="00BF5802" w:rsidRDefault="000612E9" w:rsidP="00347259">
      <w:pPr>
        <w:pStyle w:val="Absatz"/>
        <w:spacing w:line="240" w:lineRule="auto"/>
        <w:rPr>
          <w:rFonts w:ascii="Arial" w:hAnsi="Arial" w:cs="Arial"/>
          <w:sz w:val="22"/>
          <w:szCs w:val="22"/>
          <w:lang w:val="fr-CH"/>
        </w:rPr>
      </w:pPr>
    </w:p>
    <w:p w14:paraId="150280BC" w14:textId="1350ABD4" w:rsidR="004702EB" w:rsidRPr="00BF5802" w:rsidRDefault="00E65B9A" w:rsidP="004702EB">
      <w:pPr>
        <w:pStyle w:val="Tabkrper09pt-fett"/>
        <w:rPr>
          <w:rFonts w:ascii="Arial" w:hAnsi="Arial" w:cs="Arial"/>
          <w:sz w:val="22"/>
          <w:szCs w:val="22"/>
          <w:lang w:val="fr-CH"/>
        </w:rPr>
      </w:pPr>
      <w:r w:rsidRPr="00BF5802">
        <w:rPr>
          <w:rFonts w:ascii="Arial" w:hAnsi="Arial" w:cs="Arial"/>
          <w:sz w:val="22"/>
          <w:szCs w:val="22"/>
          <w:lang w:val="fr-CH"/>
        </w:rPr>
        <w:t>CP</w:t>
      </w:r>
      <w:r w:rsidR="004702EB" w:rsidRPr="00BF5802">
        <w:rPr>
          <w:rFonts w:ascii="Arial" w:hAnsi="Arial" w:cs="Arial"/>
          <w:sz w:val="22"/>
          <w:szCs w:val="22"/>
          <w:lang w:val="fr-CH"/>
        </w:rPr>
        <w:t xml:space="preserve"> </w:t>
      </w:r>
      <w:r w:rsidR="002445D6" w:rsidRPr="00BF5802">
        <w:rPr>
          <w:rFonts w:ascii="Arial" w:hAnsi="Arial" w:cs="Arial"/>
          <w:sz w:val="22"/>
          <w:szCs w:val="22"/>
          <w:lang w:val="fr-CH"/>
        </w:rPr>
        <w:t>25</w:t>
      </w:r>
      <w:r w:rsidR="004702EB" w:rsidRPr="00BF5802">
        <w:rPr>
          <w:rFonts w:ascii="Arial" w:hAnsi="Arial" w:cs="Arial"/>
          <w:sz w:val="22"/>
          <w:szCs w:val="22"/>
          <w:lang w:val="fr-CH"/>
        </w:rPr>
        <w:t>–</w:t>
      </w:r>
      <w:r w:rsidR="00D52657" w:rsidRPr="00BF5802">
        <w:rPr>
          <w:rFonts w:ascii="Arial" w:hAnsi="Arial" w:cs="Arial"/>
          <w:sz w:val="22"/>
          <w:szCs w:val="22"/>
          <w:lang w:val="fr-CH"/>
        </w:rPr>
        <w:t xml:space="preserve">28 </w:t>
      </w:r>
      <w:r w:rsidR="004702EB" w:rsidRPr="00BF5802">
        <w:rPr>
          <w:rFonts w:ascii="Arial" w:hAnsi="Arial" w:cs="Arial"/>
          <w:sz w:val="22"/>
          <w:szCs w:val="22"/>
          <w:lang w:val="fr-CH"/>
        </w:rPr>
        <w:t xml:space="preserve">XXX </w:t>
      </w:r>
      <w:r w:rsidRPr="00BF5802">
        <w:rPr>
          <w:rFonts w:ascii="Arial" w:hAnsi="Arial" w:cs="Arial"/>
          <w:sz w:val="22"/>
          <w:szCs w:val="22"/>
          <w:lang w:val="fr-CH"/>
        </w:rPr>
        <w:t>SA</w:t>
      </w:r>
      <w:r w:rsidR="004702EB" w:rsidRPr="00BF5802">
        <w:rPr>
          <w:rFonts w:ascii="Arial" w:hAnsi="Arial" w:cs="Arial"/>
          <w:sz w:val="22"/>
          <w:szCs w:val="22"/>
          <w:lang w:val="fr-CH"/>
        </w:rPr>
        <w:t xml:space="preserve"> (</w:t>
      </w:r>
      <w:r w:rsidRPr="00BF5802">
        <w:rPr>
          <w:rFonts w:ascii="Arial" w:hAnsi="Arial" w:cs="Arial"/>
          <w:sz w:val="22"/>
          <w:szCs w:val="22"/>
          <w:lang w:val="fr-CH"/>
        </w:rPr>
        <w:t>en</w:t>
      </w:r>
      <w:r w:rsidR="004702EB" w:rsidRPr="00BF5802">
        <w:rPr>
          <w:rFonts w:ascii="Arial" w:hAnsi="Arial" w:cs="Arial"/>
          <w:sz w:val="22"/>
          <w:szCs w:val="22"/>
          <w:lang w:val="fr-CH"/>
        </w:rPr>
        <w:t xml:space="preserve"> </w:t>
      </w:r>
      <w:r w:rsidR="006F0291" w:rsidRPr="00BF5802">
        <w:rPr>
          <w:rFonts w:ascii="Arial" w:hAnsi="Arial" w:cs="Arial"/>
          <w:sz w:val="22"/>
          <w:szCs w:val="22"/>
          <w:lang w:val="fr-CH"/>
        </w:rPr>
        <w:t>CHF</w:t>
      </w:r>
      <w:r w:rsidR="004702EB" w:rsidRPr="00BF5802">
        <w:rPr>
          <w:rFonts w:ascii="Arial" w:hAnsi="Arial" w:cs="Arial"/>
          <w:sz w:val="22"/>
          <w:szCs w:val="22"/>
          <w:lang w:val="fr-CH"/>
        </w:rPr>
        <w:t>)</w:t>
      </w:r>
    </w:p>
    <w:p w14:paraId="1C116219" w14:textId="77777777" w:rsidR="000612E9" w:rsidRPr="00BF5802" w:rsidRDefault="000612E9" w:rsidP="00347259">
      <w:pPr>
        <w:pStyle w:val="Absatz"/>
        <w:spacing w:line="240" w:lineRule="auto"/>
        <w:rPr>
          <w:rFonts w:ascii="Arial" w:hAnsi="Arial" w:cs="Arial"/>
          <w:sz w:val="22"/>
          <w:szCs w:val="22"/>
          <w:lang w:val="fr-CH"/>
        </w:rPr>
      </w:pPr>
    </w:p>
    <w:bookmarkStart w:id="1" w:name="_MON_1664011334"/>
    <w:bookmarkEnd w:id="1"/>
    <w:p w14:paraId="606EBFF2" w14:textId="2533091B" w:rsidR="000612E9" w:rsidRPr="00E4385B" w:rsidRDefault="00EE1215" w:rsidP="00347259">
      <w:pPr>
        <w:pStyle w:val="Absatz"/>
        <w:spacing w:line="240" w:lineRule="auto"/>
        <w:rPr>
          <w:rFonts w:ascii="Arial" w:hAnsi="Arial" w:cs="Arial"/>
          <w:sz w:val="22"/>
          <w:szCs w:val="22"/>
          <w:lang w:val="fr-CH"/>
        </w:rPr>
      </w:pPr>
      <w:r>
        <w:rPr>
          <w:rFonts w:ascii="Arial" w:hAnsi="Arial" w:cs="Arial"/>
          <w:sz w:val="22"/>
          <w:szCs w:val="22"/>
        </w:rPr>
        <w:object w:dxaOrig="12294" w:dyaOrig="2631" w14:anchorId="60512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11pt" o:ole="">
            <v:imagedata r:id="rId8" o:title=""/>
          </v:shape>
          <o:OLEObject Type="Embed" ProgID="Excel.Sheet.12" ShapeID="_x0000_i1025" DrawAspect="Content" ObjectID="_1786768794" r:id="rId9"/>
        </w:object>
      </w:r>
    </w:p>
    <w:p w14:paraId="79DC1D66" w14:textId="4C6DEB64" w:rsidR="00E65B9A" w:rsidRPr="00BF5802" w:rsidRDefault="00E65B9A" w:rsidP="00E65B9A">
      <w:pPr>
        <w:spacing w:before="80" w:line="240" w:lineRule="auto"/>
        <w:jc w:val="both"/>
        <w:rPr>
          <w:rFonts w:eastAsia="Times New Roman"/>
          <w:sz w:val="22"/>
          <w:lang w:val="fr-CH" w:eastAsia="de-DE"/>
        </w:rPr>
      </w:pPr>
      <w:r w:rsidRPr="00BF5802">
        <w:rPr>
          <w:rFonts w:eastAsia="Times New Roman"/>
          <w:sz w:val="22"/>
          <w:vertAlign w:val="superscript"/>
          <w:lang w:val="fr-CH" w:eastAsia="de-DE"/>
        </w:rPr>
        <w:t>2 </w:t>
      </w:r>
      <w:r w:rsidRPr="00BF5802">
        <w:rPr>
          <w:rFonts w:eastAsia="Times New Roman"/>
          <w:sz w:val="22"/>
          <w:lang w:val="fr-CH" w:eastAsia="de-DE"/>
        </w:rPr>
        <w:t xml:space="preserve">Le renchérissement est compris dans les contributions mentionnées ci-dessus et ne doit pas être attesté séparément. </w:t>
      </w:r>
      <w:r w:rsidRPr="00E65B9A">
        <w:rPr>
          <w:rFonts w:eastAsia="Times New Roman"/>
          <w:sz w:val="22"/>
          <w:lang w:val="fr-CH" w:eastAsia="de-DE"/>
        </w:rPr>
        <w:t xml:space="preserve">Les indemnités d’exploitation </w:t>
      </w:r>
      <w:r w:rsidR="00281BD3" w:rsidRPr="00281BD3">
        <w:rPr>
          <w:rFonts w:eastAsia="Times New Roman"/>
          <w:sz w:val="22"/>
          <w:lang w:val="fr-CH" w:eastAsia="de-DE"/>
        </w:rPr>
        <w:t xml:space="preserve">et les indemnités d’amortissement contenues dans les contributions d’investissement </w:t>
      </w:r>
      <w:r w:rsidRPr="00E65B9A">
        <w:rPr>
          <w:rFonts w:eastAsia="Times New Roman"/>
          <w:sz w:val="22"/>
          <w:lang w:val="fr-CH" w:eastAsia="de-DE"/>
        </w:rPr>
        <w:t>visées à l’art. 1</w:t>
      </w:r>
      <w:r w:rsidR="00281BD3" w:rsidRPr="00281BD3">
        <w:rPr>
          <w:rFonts w:eastAsia="Times New Roman"/>
          <w:sz w:val="22"/>
          <w:lang w:val="fr-CH" w:eastAsia="de-DE"/>
        </w:rPr>
        <w:t>5</w:t>
      </w:r>
      <w:r w:rsidRPr="00E65B9A">
        <w:rPr>
          <w:rFonts w:eastAsia="Times New Roman"/>
          <w:sz w:val="22"/>
          <w:lang w:val="fr-CH" w:eastAsia="de-DE"/>
        </w:rPr>
        <w:t>, al. 2, sont des</w:t>
      </w:r>
      <w:r w:rsidRPr="00BF5802">
        <w:rPr>
          <w:rFonts w:eastAsia="Times New Roman"/>
          <w:sz w:val="22"/>
          <w:lang w:val="fr-CH" w:eastAsia="de-DE"/>
        </w:rPr>
        <w:t xml:space="preserve"> subventions qui entraînent une réduction de la déduction de l’impôt préalable. Ladite réduction se calcule en appliquant le taux forfaitaire pour les entreprises de transport public. Les montants de la TVA sont traités conformément aux bases légales en vigueur.</w:t>
      </w:r>
    </w:p>
    <w:p w14:paraId="41463DC9" w14:textId="7CAED5ED" w:rsidR="00243EBA" w:rsidRPr="00281BD3" w:rsidRDefault="00243EBA" w:rsidP="00617E6D">
      <w:pPr>
        <w:pStyle w:val="TitelArtikelKomm"/>
        <w:spacing w:line="360" w:lineRule="auto"/>
        <w:rPr>
          <w:rFonts w:ascii="Arial" w:hAnsi="Arial" w:cs="Arial"/>
          <w:b/>
          <w:sz w:val="22"/>
          <w:lang w:val="fr-CH"/>
        </w:rPr>
      </w:pPr>
      <w:r w:rsidRPr="00281BD3">
        <w:rPr>
          <w:rFonts w:ascii="Arial" w:hAnsi="Arial" w:cs="Arial"/>
          <w:b/>
          <w:i w:val="0"/>
          <w:sz w:val="22"/>
          <w:lang w:val="fr-CH"/>
        </w:rPr>
        <w:t>Art.</w:t>
      </w:r>
      <w:r w:rsidR="00281BD3">
        <w:rPr>
          <w:rFonts w:ascii="Arial" w:hAnsi="Arial" w:cs="Arial"/>
          <w:b/>
          <w:i w:val="0"/>
          <w:sz w:val="22"/>
          <w:lang w:val="fr-CH"/>
        </w:rPr>
        <w:t> </w:t>
      </w:r>
      <w:r w:rsidRPr="00281BD3">
        <w:rPr>
          <w:rFonts w:ascii="Arial" w:hAnsi="Arial" w:cs="Arial"/>
          <w:b/>
          <w:i w:val="0"/>
          <w:sz w:val="22"/>
          <w:lang w:val="fr-CH"/>
        </w:rPr>
        <w:t>18</w:t>
      </w:r>
      <w:r w:rsidRPr="00281BD3">
        <w:rPr>
          <w:rFonts w:ascii="Arial" w:hAnsi="Arial" w:cs="Arial"/>
          <w:b/>
          <w:sz w:val="22"/>
          <w:lang w:val="fr-CH"/>
        </w:rPr>
        <w:tab/>
      </w:r>
      <w:r w:rsidR="00281BD3" w:rsidRPr="00281BD3">
        <w:rPr>
          <w:rFonts w:ascii="Arial" w:hAnsi="Arial" w:cs="Arial"/>
          <w:b/>
          <w:i w:val="0"/>
          <w:sz w:val="22"/>
          <w:lang w:val="fr-CH"/>
        </w:rPr>
        <w:t>Versement des contributions</w:t>
      </w:r>
    </w:p>
    <w:p w14:paraId="55B23AB3" w14:textId="28EE11BF" w:rsidR="00281BD3" w:rsidRPr="00281BD3" w:rsidRDefault="00281BD3" w:rsidP="00281BD3">
      <w:pPr>
        <w:spacing w:before="80" w:line="240" w:lineRule="auto"/>
        <w:jc w:val="both"/>
        <w:rPr>
          <w:rFonts w:eastAsia="Times New Roman"/>
          <w:sz w:val="22"/>
          <w:lang w:val="fr-CH" w:eastAsia="de-DE"/>
        </w:rPr>
      </w:pPr>
      <w:r w:rsidRPr="00BF5802">
        <w:rPr>
          <w:rFonts w:eastAsia="Times New Roman"/>
          <w:sz w:val="22"/>
          <w:vertAlign w:val="superscript"/>
          <w:lang w:val="fr-CH" w:eastAsia="de-DE"/>
        </w:rPr>
        <w:t>1 </w:t>
      </w:r>
      <w:r w:rsidRPr="00BF5802">
        <w:rPr>
          <w:rFonts w:eastAsia="Times New Roman"/>
          <w:sz w:val="22"/>
          <w:lang w:val="fr-CH" w:eastAsia="de-DE"/>
        </w:rPr>
        <w:t xml:space="preserve">Les </w:t>
      </w:r>
      <w:r w:rsidRPr="00281BD3">
        <w:rPr>
          <w:rFonts w:eastAsia="Times New Roman"/>
          <w:sz w:val="22"/>
          <w:lang w:val="fr-CH" w:eastAsia="de-DE"/>
        </w:rPr>
        <w:t>contributions fixées dans la présente convention selon l’art. 51</w:t>
      </w:r>
      <w:r w:rsidRPr="00281BD3">
        <w:rPr>
          <w:rFonts w:eastAsia="Times New Roman"/>
          <w:i/>
          <w:iCs/>
          <w:sz w:val="22"/>
          <w:lang w:val="fr-CH" w:eastAsia="de-DE"/>
        </w:rPr>
        <w:t>b</w:t>
      </w:r>
      <w:r w:rsidRPr="00281BD3">
        <w:rPr>
          <w:rFonts w:eastAsia="Times New Roman"/>
          <w:sz w:val="22"/>
          <w:lang w:val="fr-CH" w:eastAsia="de-DE"/>
        </w:rPr>
        <w:t xml:space="preserve"> </w:t>
      </w:r>
      <w:proofErr w:type="spellStart"/>
      <w:r w:rsidRPr="00281BD3">
        <w:rPr>
          <w:rFonts w:eastAsia="Times New Roman"/>
          <w:sz w:val="22"/>
          <w:lang w:val="fr-CH" w:eastAsia="de-DE"/>
        </w:rPr>
        <w:t>LCdF</w:t>
      </w:r>
      <w:proofErr w:type="spellEnd"/>
      <w:r w:rsidRPr="00281BD3">
        <w:rPr>
          <w:rFonts w:eastAsia="Times New Roman"/>
          <w:sz w:val="22"/>
          <w:lang w:val="fr-CH" w:eastAsia="de-DE"/>
        </w:rPr>
        <w:t xml:space="preserve"> sont versées mensuellement sur la base du plan des liquidités établi périodiquement (plan de versement dans la WDI). Le versement se fait sous réserve de l’arrêté fédéral annuel sur le prélèvement du Fonds d’infrastructure. </w:t>
      </w:r>
    </w:p>
    <w:p w14:paraId="3182BF64" w14:textId="62C78548" w:rsidR="00281BD3" w:rsidRPr="00281BD3" w:rsidRDefault="00281BD3" w:rsidP="00281BD3">
      <w:pPr>
        <w:spacing w:before="80" w:line="240" w:lineRule="auto"/>
        <w:jc w:val="both"/>
        <w:rPr>
          <w:rFonts w:eastAsia="Times New Roman"/>
          <w:sz w:val="22"/>
          <w:lang w:val="fr-CH" w:eastAsia="de-DE"/>
        </w:rPr>
      </w:pPr>
      <w:r w:rsidRPr="00281BD3">
        <w:rPr>
          <w:rFonts w:eastAsia="Times New Roman"/>
          <w:sz w:val="22"/>
          <w:vertAlign w:val="superscript"/>
          <w:lang w:val="fr-CH" w:eastAsia="de-DE"/>
        </w:rPr>
        <w:t>2°</w:t>
      </w:r>
      <w:r w:rsidRPr="00281BD3">
        <w:rPr>
          <w:rFonts w:eastAsia="Times New Roman"/>
          <w:sz w:val="22"/>
          <w:lang w:val="fr-CH" w:eastAsia="de-DE"/>
        </w:rPr>
        <w:t xml:space="preserve">Le plan de </w:t>
      </w:r>
      <w:r>
        <w:rPr>
          <w:rFonts w:eastAsia="Times New Roman"/>
          <w:sz w:val="22"/>
          <w:lang w:val="fr-CH" w:eastAsia="de-DE"/>
        </w:rPr>
        <w:t>versement</w:t>
      </w:r>
      <w:r w:rsidRPr="00281BD3">
        <w:rPr>
          <w:rFonts w:eastAsia="Times New Roman"/>
          <w:sz w:val="22"/>
          <w:lang w:val="fr-CH" w:eastAsia="de-DE"/>
        </w:rPr>
        <w:t xml:space="preserve"> selon </w:t>
      </w:r>
      <w:r>
        <w:rPr>
          <w:rFonts w:eastAsia="Times New Roman"/>
          <w:sz w:val="22"/>
          <w:lang w:val="fr-CH" w:eastAsia="de-DE"/>
        </w:rPr>
        <w:t xml:space="preserve">la </w:t>
      </w:r>
      <w:r w:rsidRPr="00281BD3">
        <w:rPr>
          <w:rFonts w:eastAsia="Times New Roman"/>
          <w:sz w:val="22"/>
          <w:lang w:val="fr-CH" w:eastAsia="de-DE"/>
        </w:rPr>
        <w:t>WDI est déterminant pour les paiements.</w:t>
      </w:r>
      <w:r>
        <w:rPr>
          <w:rFonts w:eastAsia="Times New Roman"/>
          <w:sz w:val="22"/>
          <w:lang w:val="fr-CH" w:eastAsia="de-DE"/>
        </w:rPr>
        <w:t xml:space="preserve"> </w:t>
      </w:r>
      <w:r w:rsidRPr="00281BD3">
        <w:rPr>
          <w:rFonts w:eastAsia="Times New Roman"/>
          <w:sz w:val="22"/>
          <w:lang w:val="fr-CH" w:eastAsia="de-DE"/>
        </w:rPr>
        <w:t xml:space="preserve">L’entreprise est responsable de l’actualisation continue de son plan des liquidités (plan de versement) dans la WDI. </w:t>
      </w:r>
    </w:p>
    <w:p w14:paraId="7FF53B69" w14:textId="77777777" w:rsidR="00281BD3" w:rsidRPr="00281BD3" w:rsidRDefault="00281BD3" w:rsidP="00281BD3">
      <w:pPr>
        <w:spacing w:before="80" w:line="240" w:lineRule="auto"/>
        <w:jc w:val="both"/>
        <w:rPr>
          <w:rFonts w:eastAsia="Times New Roman"/>
          <w:sz w:val="22"/>
          <w:lang w:val="fr-CH" w:eastAsia="de-DE"/>
        </w:rPr>
      </w:pPr>
      <w:r w:rsidRPr="00281BD3">
        <w:rPr>
          <w:rFonts w:eastAsia="Times New Roman"/>
          <w:sz w:val="22"/>
          <w:vertAlign w:val="superscript"/>
          <w:lang w:val="fr-CH" w:eastAsia="de-DE"/>
        </w:rPr>
        <w:t>3 </w:t>
      </w:r>
      <w:r w:rsidRPr="00281BD3">
        <w:rPr>
          <w:rFonts w:eastAsia="Times New Roman"/>
          <w:sz w:val="22"/>
          <w:lang w:val="fr-CH" w:eastAsia="de-DE"/>
        </w:rPr>
        <w:t xml:space="preserve">Lorsqu’il est probable que les liquidités de l’infrastructure s’élèveront, aux dates de paiement, à plus de 10 % des fonds d’investissement annuels moyens convenus, l’entreprise doit également redéfinir le plan de versement des contributions d’investissement restantes dans la WDI. L’OFT peut exiger un remboursement en cas de fonds plus élevés sur le compte d’investissement. Il est possible de renoncer à un remboursement lorsque l’entreprise atteste de circonstances particulières (par ex. une part élevée en ouvrages d’art), lesquelles justifient des fonds plus élevés sur le compte d’investissement. </w:t>
      </w:r>
    </w:p>
    <w:p w14:paraId="7DF53469" w14:textId="77777777" w:rsidR="00281BD3" w:rsidRPr="00281BD3" w:rsidRDefault="00281BD3" w:rsidP="00281BD3">
      <w:pPr>
        <w:spacing w:before="80" w:line="240" w:lineRule="auto"/>
        <w:jc w:val="both"/>
        <w:rPr>
          <w:rFonts w:eastAsia="Times New Roman"/>
          <w:sz w:val="22"/>
          <w:lang w:val="fr-CH" w:eastAsia="de-DE"/>
        </w:rPr>
      </w:pPr>
      <w:r w:rsidRPr="00281BD3">
        <w:rPr>
          <w:rFonts w:eastAsia="Times New Roman"/>
          <w:sz w:val="22"/>
          <w:vertAlign w:val="superscript"/>
          <w:lang w:val="fr-CH" w:eastAsia="de-DE"/>
        </w:rPr>
        <w:t>4 </w:t>
      </w:r>
      <w:r w:rsidRPr="00281BD3">
        <w:rPr>
          <w:rFonts w:eastAsia="Times New Roman"/>
          <w:sz w:val="22"/>
          <w:lang w:val="fr-CH" w:eastAsia="de-DE"/>
        </w:rPr>
        <w:t>L’entreprise peut demander un paiement anticipé des contributions à condition qu’elle puisse attester que ses obligations de payer dépassent les liquidités disponibles. Dans ce cas, l’entreprise doit également redéfinir le plan de versement des contributions d’investissement restantes dans la WDI.</w:t>
      </w:r>
    </w:p>
    <w:p w14:paraId="131A4AF8" w14:textId="77777777" w:rsidR="008E39FF" w:rsidRPr="00281BD3" w:rsidRDefault="008E39FF" w:rsidP="008E39FF">
      <w:pPr>
        <w:pStyle w:val="Absatz"/>
        <w:spacing w:line="240" w:lineRule="auto"/>
        <w:rPr>
          <w:rFonts w:ascii="Arial" w:hAnsi="Arial" w:cs="Arial"/>
          <w:sz w:val="22"/>
          <w:szCs w:val="22"/>
          <w:lang w:val="fr-CH"/>
        </w:rPr>
      </w:pPr>
    </w:p>
    <w:p w14:paraId="72BAB647" w14:textId="6E40C843" w:rsidR="00243EBA" w:rsidRPr="00281BD3" w:rsidRDefault="00281BD3" w:rsidP="000A0102">
      <w:pPr>
        <w:pStyle w:val="TitelAnhKurztit"/>
        <w:spacing w:line="240" w:lineRule="auto"/>
        <w:rPr>
          <w:rFonts w:ascii="Arial" w:hAnsi="Arial" w:cs="Arial"/>
          <w:sz w:val="24"/>
          <w:lang w:val="fr-CH"/>
        </w:rPr>
      </w:pPr>
      <w:r w:rsidRPr="00281BD3">
        <w:rPr>
          <w:rFonts w:ascii="Arial" w:hAnsi="Arial" w:cs="Arial"/>
          <w:sz w:val="24"/>
          <w:lang w:val="fr-CH"/>
        </w:rPr>
        <w:t>Section 6</w:t>
      </w:r>
      <w:r w:rsidRPr="00281BD3">
        <w:rPr>
          <w:rFonts w:ascii="Arial" w:hAnsi="Arial" w:cs="Arial"/>
          <w:sz w:val="24"/>
          <w:lang w:val="fr-CH"/>
        </w:rPr>
        <w:tab/>
        <w:t>Gestion des fonds</w:t>
      </w:r>
    </w:p>
    <w:p w14:paraId="7FEFA5BE" w14:textId="4E2B2F37" w:rsidR="00243EBA" w:rsidRPr="00281BD3" w:rsidRDefault="00243EBA" w:rsidP="00617E6D">
      <w:pPr>
        <w:pStyle w:val="TitelArtikelKomm"/>
        <w:spacing w:line="360" w:lineRule="auto"/>
        <w:rPr>
          <w:rFonts w:ascii="Arial" w:hAnsi="Arial" w:cs="Arial"/>
          <w:b/>
          <w:sz w:val="22"/>
          <w:lang w:val="fr-CH"/>
        </w:rPr>
      </w:pPr>
      <w:r w:rsidRPr="00281BD3">
        <w:rPr>
          <w:rFonts w:ascii="Arial" w:hAnsi="Arial" w:cs="Arial"/>
          <w:b/>
          <w:i w:val="0"/>
          <w:sz w:val="22"/>
          <w:lang w:val="fr-CH"/>
        </w:rPr>
        <w:t>Art.</w:t>
      </w:r>
      <w:r w:rsidR="00281BD3" w:rsidRPr="00281BD3">
        <w:rPr>
          <w:rFonts w:ascii="Arial" w:hAnsi="Arial" w:cs="Arial"/>
          <w:b/>
          <w:i w:val="0"/>
          <w:sz w:val="22"/>
          <w:lang w:val="fr-CH"/>
        </w:rPr>
        <w:t> </w:t>
      </w:r>
      <w:r w:rsidRPr="00281BD3">
        <w:rPr>
          <w:rFonts w:ascii="Arial" w:hAnsi="Arial" w:cs="Arial"/>
          <w:b/>
          <w:i w:val="0"/>
          <w:sz w:val="22"/>
          <w:lang w:val="fr-CH"/>
        </w:rPr>
        <w:t>19</w:t>
      </w:r>
      <w:r w:rsidRPr="00281BD3">
        <w:rPr>
          <w:rFonts w:ascii="Arial" w:hAnsi="Arial" w:cs="Arial"/>
          <w:b/>
          <w:sz w:val="22"/>
          <w:lang w:val="fr-CH"/>
        </w:rPr>
        <w:tab/>
      </w:r>
      <w:r w:rsidR="00281BD3" w:rsidRPr="00281BD3">
        <w:rPr>
          <w:rFonts w:ascii="Arial" w:hAnsi="Arial" w:cs="Arial"/>
          <w:b/>
          <w:i w:val="0"/>
          <w:sz w:val="22"/>
          <w:lang w:val="fr-CH"/>
        </w:rPr>
        <w:t>Gestion des fonds d’investissements</w:t>
      </w:r>
    </w:p>
    <w:p w14:paraId="27B67637" w14:textId="081D2087" w:rsidR="00243EBA" w:rsidRPr="00281BD3" w:rsidRDefault="00281BD3" w:rsidP="00347259">
      <w:pPr>
        <w:pStyle w:val="Absatz"/>
        <w:spacing w:line="240" w:lineRule="auto"/>
        <w:rPr>
          <w:rFonts w:ascii="Arial" w:hAnsi="Arial" w:cs="Arial"/>
          <w:sz w:val="22"/>
          <w:szCs w:val="22"/>
          <w:lang w:val="fr-CH"/>
        </w:rPr>
      </w:pPr>
      <w:r w:rsidRPr="00281BD3">
        <w:rPr>
          <w:rFonts w:ascii="Arial" w:hAnsi="Arial" w:cs="Arial"/>
          <w:sz w:val="22"/>
          <w:szCs w:val="22"/>
          <w:lang w:val="fr-CH"/>
        </w:rPr>
        <w:t>L’entreprise gère les fonds d’investissement du secteur Infrastructure séparément des autres ressources de l’entreprise. Elle dispose à cet effet d’un compte bancaire séparé (compte d’investissement). [</w:t>
      </w:r>
      <w:proofErr w:type="gramStart"/>
      <w:r w:rsidRPr="00281BD3">
        <w:rPr>
          <w:rFonts w:ascii="Arial" w:hAnsi="Arial" w:cs="Arial"/>
          <w:sz w:val="22"/>
          <w:szCs w:val="22"/>
          <w:lang w:val="fr-CH"/>
        </w:rPr>
        <w:t>ou</w:t>
      </w:r>
      <w:proofErr w:type="gramEnd"/>
      <w:r w:rsidRPr="00281BD3">
        <w:rPr>
          <w:rFonts w:ascii="Arial" w:hAnsi="Arial" w:cs="Arial"/>
          <w:sz w:val="22"/>
          <w:szCs w:val="22"/>
          <w:lang w:val="fr-CH"/>
        </w:rPr>
        <w:t xml:space="preserve"> ajouter ici toute autre solution praticable]. Les intérêts sont inscrits en tant que recettes du secteur Infrastructure, même s’ils proviennent d’un financement intermédiaire à court terme d’autres secteurs ou s’ils ont été affectés à des installations qui ne font pas l’objet de l’accès au réseau conformément à l’art. 62, al. 2, LCdF. [Si l’entreprise ne satisfait pas aux conditions précitées, elle doit tenir un compte bancaire séparé pour les fonds d’investissements du secteur Infrastructure.]</w:t>
      </w:r>
    </w:p>
    <w:p w14:paraId="7FC5D4C9" w14:textId="5FCE5817"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281BD3">
        <w:rPr>
          <w:rFonts w:ascii="Arial" w:hAnsi="Arial" w:cs="Arial"/>
          <w:b/>
          <w:i w:val="0"/>
          <w:sz w:val="22"/>
          <w:lang w:val="fr-CH"/>
        </w:rPr>
        <w:t> </w:t>
      </w:r>
      <w:r w:rsidRPr="00E4385B">
        <w:rPr>
          <w:rFonts w:ascii="Arial" w:hAnsi="Arial" w:cs="Arial"/>
          <w:b/>
          <w:i w:val="0"/>
          <w:sz w:val="22"/>
          <w:lang w:val="fr-CH"/>
        </w:rPr>
        <w:t>20</w:t>
      </w:r>
      <w:r w:rsidRPr="00E4385B">
        <w:rPr>
          <w:rFonts w:ascii="Arial" w:hAnsi="Arial" w:cs="Arial"/>
          <w:b/>
          <w:sz w:val="22"/>
          <w:lang w:val="fr-CH"/>
        </w:rPr>
        <w:tab/>
      </w:r>
      <w:r w:rsidR="00281BD3">
        <w:rPr>
          <w:rFonts w:ascii="Arial" w:hAnsi="Arial" w:cs="Arial"/>
          <w:b/>
          <w:i w:val="0"/>
          <w:sz w:val="22"/>
          <w:lang w:val="fr-CH"/>
        </w:rPr>
        <w:t>Contributions de tiers</w:t>
      </w:r>
    </w:p>
    <w:p w14:paraId="3CDD6DCB" w14:textId="4522B17F" w:rsidR="007B605F" w:rsidRPr="007B605F" w:rsidRDefault="007B605F" w:rsidP="007B605F">
      <w:pPr>
        <w:spacing w:before="80" w:line="240" w:lineRule="auto"/>
        <w:jc w:val="both"/>
        <w:rPr>
          <w:rFonts w:eastAsia="Times New Roman"/>
          <w:sz w:val="22"/>
          <w:lang w:val="fr-CH" w:eastAsia="de-DE"/>
        </w:rPr>
      </w:pPr>
      <w:r w:rsidRPr="007B605F">
        <w:rPr>
          <w:rFonts w:eastAsia="Times New Roman"/>
          <w:sz w:val="22"/>
          <w:vertAlign w:val="superscript"/>
          <w:lang w:val="fr-CH" w:eastAsia="de-DE"/>
        </w:rPr>
        <w:t>1 </w:t>
      </w:r>
      <w:r w:rsidRPr="007B605F">
        <w:rPr>
          <w:rFonts w:eastAsia="Times New Roman"/>
          <w:sz w:val="22"/>
          <w:lang w:val="fr-CH" w:eastAsia="de-DE"/>
        </w:rPr>
        <w:t xml:space="preserve">L’entreprise veille à exiger le versement de la totalité des contributions financières de tiers prévues par la loi. L’attestation ad hoc doit être présentée dans le cadre de l’établissement du </w:t>
      </w:r>
      <w:r w:rsidRPr="007B605F">
        <w:rPr>
          <w:rFonts w:eastAsia="Times New Roman"/>
          <w:sz w:val="22"/>
          <w:lang w:val="fr-CH" w:eastAsia="de-DE"/>
        </w:rPr>
        <w:lastRenderedPageBreak/>
        <w:t>rapport annuel sur la CP</w:t>
      </w:r>
      <w:r w:rsidR="007327F1">
        <w:rPr>
          <w:rFonts w:eastAsia="Times New Roman"/>
          <w:sz w:val="22"/>
          <w:lang w:val="fr-CH" w:eastAsia="de-DE"/>
        </w:rPr>
        <w:t xml:space="preserve"> selon l’art. 23, al. 1, let. c</w:t>
      </w:r>
      <w:r w:rsidRPr="007B605F">
        <w:rPr>
          <w:rFonts w:eastAsia="Times New Roman"/>
          <w:sz w:val="22"/>
          <w:lang w:val="fr-CH" w:eastAsia="de-DE"/>
        </w:rPr>
        <w:t xml:space="preserve">. L’entreprise </w:t>
      </w:r>
      <w:r w:rsidR="007327F1">
        <w:rPr>
          <w:rFonts w:eastAsia="Times New Roman"/>
          <w:sz w:val="22"/>
          <w:lang w:val="fr-CH" w:eastAsia="de-DE"/>
        </w:rPr>
        <w:t>dispose d’un</w:t>
      </w:r>
      <w:r w:rsidRPr="007B605F">
        <w:rPr>
          <w:rFonts w:eastAsia="Times New Roman"/>
          <w:sz w:val="22"/>
          <w:lang w:val="fr-CH" w:eastAsia="de-DE"/>
        </w:rPr>
        <w:t xml:space="preserve"> concept expliquant dans quels cas et sur quelle base juridique des contributions de tiers ou d’autres sources sont exigées.</w:t>
      </w:r>
    </w:p>
    <w:p w14:paraId="6D11495D" w14:textId="3EE7A730" w:rsidR="00243EBA" w:rsidRPr="00BF5802" w:rsidRDefault="007B605F" w:rsidP="007B605F">
      <w:pPr>
        <w:spacing w:before="80" w:line="240" w:lineRule="auto"/>
        <w:jc w:val="both"/>
        <w:rPr>
          <w:sz w:val="22"/>
          <w:lang w:val="fr-CH"/>
        </w:rPr>
      </w:pPr>
      <w:r w:rsidRPr="007B605F">
        <w:rPr>
          <w:rFonts w:eastAsia="Times New Roman"/>
          <w:sz w:val="22"/>
          <w:vertAlign w:val="superscript"/>
          <w:lang w:val="fr-CH" w:eastAsia="de-DE"/>
        </w:rPr>
        <w:t>2 </w:t>
      </w:r>
      <w:r w:rsidRPr="007B605F">
        <w:rPr>
          <w:rFonts w:eastAsia="Times New Roman"/>
          <w:sz w:val="22"/>
          <w:lang w:val="fr-CH" w:eastAsia="de-DE"/>
        </w:rPr>
        <w:t>Les projets auxquels des tiers participent financièrement selon l’art.</w:t>
      </w:r>
      <w:r w:rsidR="007327F1">
        <w:rPr>
          <w:rFonts w:eastAsia="Times New Roman"/>
          <w:sz w:val="22"/>
          <w:lang w:val="fr-CH" w:eastAsia="de-DE"/>
        </w:rPr>
        <w:t> </w:t>
      </w:r>
      <w:r w:rsidRPr="007B605F">
        <w:rPr>
          <w:rFonts w:eastAsia="Times New Roman"/>
          <w:sz w:val="22"/>
          <w:lang w:val="fr-CH" w:eastAsia="de-DE"/>
        </w:rPr>
        <w:t>58</w:t>
      </w:r>
      <w:r w:rsidRPr="007B605F">
        <w:rPr>
          <w:rFonts w:eastAsia="Times New Roman"/>
          <w:i/>
          <w:iCs/>
          <w:sz w:val="22"/>
          <w:lang w:val="fr-CH" w:eastAsia="de-DE"/>
        </w:rPr>
        <w:t>b</w:t>
      </w:r>
      <w:r w:rsidRPr="007B605F">
        <w:rPr>
          <w:rFonts w:eastAsia="Times New Roman"/>
          <w:sz w:val="22"/>
          <w:lang w:val="fr-CH" w:eastAsia="de-DE"/>
        </w:rPr>
        <w:t xml:space="preserve"> </w:t>
      </w:r>
      <w:proofErr w:type="spellStart"/>
      <w:r w:rsidRPr="007B605F">
        <w:rPr>
          <w:rFonts w:eastAsia="Times New Roman"/>
          <w:sz w:val="22"/>
          <w:lang w:val="fr-CH" w:eastAsia="de-DE"/>
        </w:rPr>
        <w:t>LCdF</w:t>
      </w:r>
      <w:proofErr w:type="spellEnd"/>
      <w:r w:rsidRPr="007B605F">
        <w:rPr>
          <w:rFonts w:eastAsia="Times New Roman"/>
          <w:sz w:val="22"/>
          <w:lang w:val="fr-CH" w:eastAsia="de-DE"/>
        </w:rPr>
        <w:t xml:space="preserve"> requièrent l’accord de l’OFT. S’ils entraînent des coûts dont le total dépasse </w:t>
      </w:r>
      <w:r w:rsidR="007327F1">
        <w:rPr>
          <w:rFonts w:eastAsia="Times New Roman"/>
          <w:sz w:val="22"/>
          <w:lang w:val="fr-CH" w:eastAsia="de-DE"/>
        </w:rPr>
        <w:t>dix </w:t>
      </w:r>
      <w:r w:rsidRPr="007B605F">
        <w:rPr>
          <w:rFonts w:eastAsia="Times New Roman"/>
          <w:sz w:val="22"/>
          <w:lang w:val="fr-CH" w:eastAsia="de-DE"/>
        </w:rPr>
        <w:t xml:space="preserve">millions de francs, l’entreprise </w:t>
      </w:r>
      <w:r w:rsidR="007327F1">
        <w:rPr>
          <w:rFonts w:eastAsia="Times New Roman"/>
          <w:sz w:val="22"/>
          <w:lang w:val="fr-CH" w:eastAsia="de-DE"/>
        </w:rPr>
        <w:t>en informe l’OFT</w:t>
      </w:r>
      <w:r w:rsidR="008A7805" w:rsidRPr="008A7805">
        <w:rPr>
          <w:rFonts w:eastAsia="Times New Roman"/>
          <w:sz w:val="22"/>
          <w:lang w:val="fr-CH" w:eastAsia="de-DE"/>
        </w:rPr>
        <w:t xml:space="preserve"> </w:t>
      </w:r>
      <w:r w:rsidR="008A7805">
        <w:rPr>
          <w:rFonts w:eastAsia="Times New Roman"/>
          <w:sz w:val="22"/>
          <w:lang w:val="fr-CH" w:eastAsia="de-DE"/>
        </w:rPr>
        <w:t>à temps</w:t>
      </w:r>
      <w:r w:rsidR="007327F1">
        <w:rPr>
          <w:rFonts w:eastAsia="Times New Roman"/>
          <w:sz w:val="22"/>
          <w:lang w:val="fr-CH" w:eastAsia="de-DE"/>
        </w:rPr>
        <w:t xml:space="preserve">. Ce dernier vérifie s’il convient de </w:t>
      </w:r>
      <w:r w:rsidRPr="007B605F">
        <w:rPr>
          <w:rFonts w:eastAsia="Times New Roman"/>
          <w:sz w:val="22"/>
          <w:lang w:val="fr-CH" w:eastAsia="de-DE"/>
        </w:rPr>
        <w:t xml:space="preserve">conclure une convention de financement </w:t>
      </w:r>
      <w:r w:rsidR="007327F1">
        <w:rPr>
          <w:rFonts w:eastAsia="Times New Roman"/>
          <w:sz w:val="22"/>
          <w:lang w:val="fr-CH" w:eastAsia="de-DE"/>
        </w:rPr>
        <w:t xml:space="preserve">avec </w:t>
      </w:r>
      <w:r w:rsidRPr="007B605F">
        <w:rPr>
          <w:rFonts w:eastAsia="Times New Roman"/>
          <w:sz w:val="22"/>
          <w:lang w:val="fr-CH" w:eastAsia="de-DE"/>
        </w:rPr>
        <w:t>le ou les tiers.</w:t>
      </w:r>
    </w:p>
    <w:p w14:paraId="4B386CF8" w14:textId="5D0937EC" w:rsidR="00243EBA" w:rsidRPr="007327F1" w:rsidRDefault="00243EBA" w:rsidP="00617E6D">
      <w:pPr>
        <w:pStyle w:val="TitelArtikelKomm"/>
        <w:spacing w:line="360" w:lineRule="auto"/>
        <w:rPr>
          <w:rFonts w:ascii="Arial" w:hAnsi="Arial" w:cs="Arial"/>
          <w:b/>
          <w:sz w:val="22"/>
          <w:lang w:val="fr-CH"/>
        </w:rPr>
      </w:pPr>
      <w:r w:rsidRPr="00BF5802">
        <w:rPr>
          <w:rFonts w:ascii="Arial" w:hAnsi="Arial" w:cs="Arial"/>
          <w:b/>
          <w:i w:val="0"/>
          <w:sz w:val="22"/>
          <w:lang w:val="fr-CH"/>
        </w:rPr>
        <w:t>Art</w:t>
      </w:r>
      <w:r w:rsidRPr="007327F1">
        <w:rPr>
          <w:rFonts w:ascii="Arial" w:hAnsi="Arial" w:cs="Arial"/>
          <w:b/>
          <w:i w:val="0"/>
          <w:sz w:val="22"/>
          <w:lang w:val="fr-CH"/>
        </w:rPr>
        <w:t>.</w:t>
      </w:r>
      <w:r w:rsidR="007327F1" w:rsidRPr="007327F1">
        <w:rPr>
          <w:rFonts w:ascii="Arial" w:hAnsi="Arial" w:cs="Arial"/>
          <w:b/>
          <w:i w:val="0"/>
          <w:sz w:val="22"/>
          <w:lang w:val="fr-CH"/>
        </w:rPr>
        <w:t> </w:t>
      </w:r>
      <w:r w:rsidRPr="007327F1">
        <w:rPr>
          <w:rFonts w:ascii="Arial" w:hAnsi="Arial" w:cs="Arial"/>
          <w:b/>
          <w:i w:val="0"/>
          <w:sz w:val="22"/>
          <w:lang w:val="fr-CH"/>
        </w:rPr>
        <w:t>21</w:t>
      </w:r>
      <w:r w:rsidRPr="007327F1">
        <w:rPr>
          <w:rFonts w:ascii="Arial" w:hAnsi="Arial" w:cs="Arial"/>
          <w:b/>
          <w:sz w:val="22"/>
          <w:lang w:val="fr-CH"/>
        </w:rPr>
        <w:tab/>
      </w:r>
      <w:r w:rsidR="007327F1" w:rsidRPr="007327F1">
        <w:rPr>
          <w:rFonts w:ascii="Arial" w:hAnsi="Arial" w:cs="Arial"/>
          <w:b/>
          <w:i w:val="0"/>
          <w:sz w:val="22"/>
          <w:lang w:val="fr-CH"/>
        </w:rPr>
        <w:t>Emploi des fonds</w:t>
      </w:r>
    </w:p>
    <w:p w14:paraId="5FCCC5CB" w14:textId="6DBB98A3" w:rsidR="007327F1" w:rsidRPr="007327F1" w:rsidRDefault="007327F1" w:rsidP="007327F1">
      <w:pPr>
        <w:spacing w:before="80" w:line="240" w:lineRule="auto"/>
        <w:jc w:val="both"/>
        <w:rPr>
          <w:rFonts w:eastAsia="Times New Roman"/>
          <w:sz w:val="22"/>
          <w:lang w:val="fr-CH" w:eastAsia="de-DE"/>
        </w:rPr>
      </w:pPr>
      <w:r w:rsidRPr="007327F1">
        <w:rPr>
          <w:rFonts w:eastAsia="Times New Roman"/>
          <w:sz w:val="22"/>
          <w:vertAlign w:val="superscript"/>
          <w:lang w:val="fr-CH" w:eastAsia="de-DE"/>
        </w:rPr>
        <w:t>1 </w:t>
      </w:r>
      <w:r w:rsidRPr="007327F1">
        <w:rPr>
          <w:rFonts w:eastAsia="Times New Roman"/>
          <w:sz w:val="22"/>
          <w:lang w:val="fr-CH" w:eastAsia="de-DE"/>
        </w:rPr>
        <w:t xml:space="preserve">L’entreprise garantit que les ressources allouées au titre de la présente convention seront employées exclusivement pour financer les investissements dans </w:t>
      </w:r>
      <w:r w:rsidR="00377436">
        <w:rPr>
          <w:rFonts w:eastAsia="Times New Roman"/>
          <w:sz w:val="22"/>
          <w:lang w:val="fr-CH" w:eastAsia="de-DE"/>
        </w:rPr>
        <w:t>la maintenance</w:t>
      </w:r>
      <w:r w:rsidRPr="007327F1">
        <w:rPr>
          <w:rFonts w:eastAsia="Times New Roman"/>
          <w:sz w:val="22"/>
          <w:lang w:val="fr-CH" w:eastAsia="de-DE"/>
        </w:rPr>
        <w:t xml:space="preserve"> indemnisée conformément à l’art.</w:t>
      </w:r>
      <w:r>
        <w:rPr>
          <w:rFonts w:eastAsia="Times New Roman"/>
          <w:sz w:val="22"/>
          <w:lang w:val="fr-CH" w:eastAsia="de-DE"/>
        </w:rPr>
        <w:t> </w:t>
      </w:r>
      <w:r w:rsidRPr="007327F1">
        <w:rPr>
          <w:rFonts w:eastAsia="Times New Roman"/>
          <w:sz w:val="22"/>
          <w:lang w:val="fr-CH" w:eastAsia="de-DE"/>
        </w:rPr>
        <w:t>5, al.</w:t>
      </w:r>
      <w:r>
        <w:rPr>
          <w:rFonts w:eastAsia="Times New Roman"/>
          <w:sz w:val="22"/>
          <w:lang w:val="fr-CH" w:eastAsia="de-DE"/>
        </w:rPr>
        <w:t> </w:t>
      </w:r>
      <w:r w:rsidRPr="007327F1">
        <w:rPr>
          <w:rFonts w:eastAsia="Times New Roman"/>
          <w:sz w:val="22"/>
          <w:lang w:val="fr-CH" w:eastAsia="de-DE"/>
        </w:rPr>
        <w:t>1, OCPF. En cas de doute sur la délimitation, l’OFT décide.</w:t>
      </w:r>
    </w:p>
    <w:p w14:paraId="4DCCF6E1" w14:textId="776CCF33" w:rsidR="007327F1" w:rsidRPr="007327F1" w:rsidRDefault="007327F1" w:rsidP="007327F1">
      <w:pPr>
        <w:spacing w:before="80" w:line="240" w:lineRule="auto"/>
        <w:jc w:val="both"/>
        <w:rPr>
          <w:rFonts w:eastAsia="Times New Roman"/>
          <w:sz w:val="22"/>
          <w:lang w:val="fr-CH" w:eastAsia="de-DE"/>
        </w:rPr>
      </w:pPr>
      <w:r w:rsidRPr="007327F1">
        <w:rPr>
          <w:rFonts w:eastAsia="Times New Roman"/>
          <w:sz w:val="22"/>
          <w:vertAlign w:val="superscript"/>
          <w:lang w:val="fr-CH" w:eastAsia="de-DE"/>
        </w:rPr>
        <w:t>2 </w:t>
      </w:r>
      <w:r w:rsidRPr="007327F1">
        <w:rPr>
          <w:rFonts w:eastAsia="Times New Roman"/>
          <w:sz w:val="22"/>
          <w:lang w:val="fr-CH" w:eastAsia="de-DE"/>
        </w:rPr>
        <w:t>Si l’OFT autorise l’entreprise à affecter les fonds d’investissement à des installations qui ne font pas l’objet de l’accès au réseau conformément à l’art.</w:t>
      </w:r>
      <w:r>
        <w:rPr>
          <w:rFonts w:eastAsia="Times New Roman"/>
          <w:sz w:val="22"/>
          <w:lang w:val="fr-CH" w:eastAsia="de-DE"/>
        </w:rPr>
        <w:t> </w:t>
      </w:r>
      <w:r w:rsidRPr="007327F1">
        <w:rPr>
          <w:rFonts w:eastAsia="Times New Roman"/>
          <w:sz w:val="22"/>
          <w:lang w:val="fr-CH" w:eastAsia="de-DE"/>
        </w:rPr>
        <w:t>62, al.</w:t>
      </w:r>
      <w:r>
        <w:rPr>
          <w:rFonts w:eastAsia="Times New Roman"/>
          <w:sz w:val="22"/>
          <w:lang w:val="fr-CH" w:eastAsia="de-DE"/>
        </w:rPr>
        <w:t> </w:t>
      </w:r>
      <w:r w:rsidRPr="007327F1">
        <w:rPr>
          <w:rFonts w:eastAsia="Times New Roman"/>
          <w:sz w:val="22"/>
          <w:lang w:val="fr-CH" w:eastAsia="de-DE"/>
        </w:rPr>
        <w:t xml:space="preserve">2, </w:t>
      </w:r>
      <w:proofErr w:type="spellStart"/>
      <w:r w:rsidRPr="007327F1">
        <w:rPr>
          <w:rFonts w:eastAsia="Times New Roman"/>
          <w:sz w:val="22"/>
          <w:lang w:val="fr-CH" w:eastAsia="de-DE"/>
        </w:rPr>
        <w:t>LCdF</w:t>
      </w:r>
      <w:proofErr w:type="spellEnd"/>
      <w:r w:rsidRPr="007327F1">
        <w:rPr>
          <w:rFonts w:eastAsia="Times New Roman"/>
          <w:sz w:val="22"/>
          <w:lang w:val="fr-CH" w:eastAsia="de-DE"/>
        </w:rPr>
        <w:t xml:space="preserve">, </w:t>
      </w:r>
      <w:r>
        <w:rPr>
          <w:rFonts w:eastAsia="Times New Roman"/>
          <w:sz w:val="22"/>
          <w:lang w:val="fr-CH" w:eastAsia="de-DE"/>
        </w:rPr>
        <w:t>c</w:t>
      </w:r>
      <w:r w:rsidRPr="007327F1">
        <w:rPr>
          <w:rFonts w:eastAsia="Times New Roman"/>
          <w:sz w:val="22"/>
          <w:lang w:val="fr-CH" w:eastAsia="de-DE"/>
        </w:rPr>
        <w:t xml:space="preserve">es fonds </w:t>
      </w:r>
      <w:r w:rsidR="008A7805">
        <w:rPr>
          <w:rFonts w:eastAsia="Times New Roman"/>
          <w:sz w:val="22"/>
          <w:lang w:val="fr-CH" w:eastAsia="de-DE"/>
        </w:rPr>
        <w:t>ne doivent</w:t>
      </w:r>
      <w:r>
        <w:rPr>
          <w:rFonts w:eastAsia="Times New Roman"/>
          <w:sz w:val="22"/>
          <w:lang w:val="fr-CH" w:eastAsia="de-DE"/>
        </w:rPr>
        <w:t xml:space="preserve"> pas générer des coûts non couverts</w:t>
      </w:r>
      <w:r w:rsidRPr="007327F1">
        <w:rPr>
          <w:rFonts w:eastAsia="Times New Roman"/>
          <w:sz w:val="22"/>
          <w:lang w:val="fr-CH" w:eastAsia="de-DE"/>
        </w:rPr>
        <w:t>. Il y a lieu de présenter dans la WDI, conjointement avec les rapports annuels, l’attestation de la rentabilité de</w:t>
      </w:r>
      <w:r w:rsidR="008A7805">
        <w:rPr>
          <w:rFonts w:eastAsia="Times New Roman"/>
          <w:sz w:val="22"/>
          <w:lang w:val="fr-CH" w:eastAsia="de-DE"/>
        </w:rPr>
        <w:t>s</w:t>
      </w:r>
      <w:r w:rsidRPr="007327F1">
        <w:rPr>
          <w:rFonts w:eastAsia="Times New Roman"/>
          <w:sz w:val="22"/>
          <w:lang w:val="fr-CH" w:eastAsia="de-DE"/>
        </w:rPr>
        <w:t xml:space="preserve"> </w:t>
      </w:r>
      <w:r>
        <w:rPr>
          <w:rFonts w:eastAsia="Times New Roman"/>
          <w:sz w:val="22"/>
          <w:lang w:val="fr-CH" w:eastAsia="de-DE"/>
        </w:rPr>
        <w:t xml:space="preserve">installations </w:t>
      </w:r>
      <w:r w:rsidR="008A7805">
        <w:rPr>
          <w:rFonts w:eastAsia="Times New Roman"/>
          <w:sz w:val="22"/>
          <w:lang w:val="fr-CH" w:eastAsia="de-DE"/>
        </w:rPr>
        <w:t xml:space="preserve">visées à </w:t>
      </w:r>
      <w:r>
        <w:rPr>
          <w:rFonts w:eastAsia="Times New Roman"/>
          <w:sz w:val="22"/>
          <w:lang w:val="fr-CH" w:eastAsia="de-DE"/>
        </w:rPr>
        <w:t>l’art. 62, al. 2, LCdF et pour les équipements non nécessaires à l’exploitation lors d’installation</w:t>
      </w:r>
      <w:r w:rsidR="008343C1">
        <w:rPr>
          <w:rFonts w:eastAsia="Times New Roman"/>
          <w:sz w:val="22"/>
          <w:lang w:val="fr-CH" w:eastAsia="de-DE"/>
        </w:rPr>
        <w:t>s</w:t>
      </w:r>
      <w:r>
        <w:rPr>
          <w:rFonts w:eastAsia="Times New Roman"/>
          <w:sz w:val="22"/>
          <w:lang w:val="fr-CH" w:eastAsia="de-DE"/>
        </w:rPr>
        <w:t xml:space="preserve"> à usage mixte </w:t>
      </w:r>
      <w:r w:rsidRPr="007327F1">
        <w:rPr>
          <w:rFonts w:eastAsia="Times New Roman"/>
          <w:sz w:val="22"/>
          <w:lang w:val="fr-CH" w:eastAsia="de-DE"/>
        </w:rPr>
        <w:t>sur la base des coûts complets conformément à l’art.</w:t>
      </w:r>
      <w:r>
        <w:rPr>
          <w:rFonts w:eastAsia="Times New Roman"/>
          <w:sz w:val="22"/>
          <w:lang w:val="fr-CH" w:eastAsia="de-DE"/>
        </w:rPr>
        <w:t> </w:t>
      </w:r>
      <w:r w:rsidRPr="007327F1">
        <w:rPr>
          <w:rFonts w:eastAsia="Times New Roman"/>
          <w:sz w:val="22"/>
          <w:lang w:val="fr-CH" w:eastAsia="de-DE"/>
        </w:rPr>
        <w:t>64, al.</w:t>
      </w:r>
      <w:r>
        <w:rPr>
          <w:rFonts w:eastAsia="Times New Roman"/>
          <w:sz w:val="22"/>
          <w:lang w:val="fr-CH" w:eastAsia="de-DE"/>
        </w:rPr>
        <w:t> </w:t>
      </w:r>
      <w:r w:rsidRPr="007327F1">
        <w:rPr>
          <w:rFonts w:eastAsia="Times New Roman"/>
          <w:sz w:val="22"/>
          <w:lang w:val="fr-CH" w:eastAsia="de-DE"/>
        </w:rPr>
        <w:t>2, LCdF</w:t>
      </w:r>
      <w:r>
        <w:rPr>
          <w:rFonts w:eastAsia="Times New Roman"/>
          <w:sz w:val="22"/>
          <w:lang w:val="fr-CH" w:eastAsia="de-DE"/>
        </w:rPr>
        <w:t>.</w:t>
      </w:r>
      <w:r w:rsidRPr="007327F1">
        <w:rPr>
          <w:rFonts w:eastAsia="Times New Roman"/>
          <w:sz w:val="22"/>
          <w:lang w:val="fr-CH" w:eastAsia="de-DE"/>
        </w:rPr>
        <w:t xml:space="preserve"> </w:t>
      </w:r>
      <w:r>
        <w:rPr>
          <w:rFonts w:eastAsia="Times New Roman"/>
          <w:sz w:val="22"/>
          <w:lang w:val="fr-CH" w:eastAsia="de-DE"/>
        </w:rPr>
        <w:t>L</w:t>
      </w:r>
      <w:r w:rsidRPr="007327F1">
        <w:rPr>
          <w:rFonts w:eastAsia="Times New Roman"/>
          <w:sz w:val="22"/>
          <w:lang w:val="fr-CH" w:eastAsia="de-DE"/>
        </w:rPr>
        <w:t>e cas échéant, les déficits doivent être imputés en premier lieu à d’autres activités annexes, éventuellement au secteur Transports.</w:t>
      </w:r>
    </w:p>
    <w:p w14:paraId="514EA6D8" w14:textId="191F4817" w:rsidR="00243EBA" w:rsidRPr="007327F1" w:rsidRDefault="00243EBA" w:rsidP="00617E6D">
      <w:pPr>
        <w:pStyle w:val="TitelArtikelKomm"/>
        <w:spacing w:line="360" w:lineRule="auto"/>
        <w:rPr>
          <w:rFonts w:ascii="Arial" w:hAnsi="Arial" w:cs="Arial"/>
          <w:b/>
          <w:sz w:val="22"/>
          <w:lang w:val="fr-CH"/>
        </w:rPr>
      </w:pPr>
      <w:r w:rsidRPr="007327F1">
        <w:rPr>
          <w:rFonts w:ascii="Arial" w:hAnsi="Arial" w:cs="Arial"/>
          <w:b/>
          <w:i w:val="0"/>
          <w:sz w:val="22"/>
          <w:lang w:val="fr-CH"/>
        </w:rPr>
        <w:t>Art.</w:t>
      </w:r>
      <w:r w:rsidR="007327F1" w:rsidRPr="007327F1">
        <w:rPr>
          <w:rFonts w:ascii="Arial" w:hAnsi="Arial" w:cs="Arial"/>
          <w:b/>
          <w:i w:val="0"/>
          <w:sz w:val="22"/>
          <w:lang w:val="fr-CH"/>
        </w:rPr>
        <w:t> </w:t>
      </w:r>
      <w:r w:rsidRPr="007327F1">
        <w:rPr>
          <w:rFonts w:ascii="Arial" w:hAnsi="Arial" w:cs="Arial"/>
          <w:b/>
          <w:i w:val="0"/>
          <w:sz w:val="22"/>
          <w:lang w:val="fr-CH"/>
        </w:rPr>
        <w:t>22</w:t>
      </w:r>
      <w:r w:rsidRPr="007327F1">
        <w:rPr>
          <w:rFonts w:ascii="Arial" w:hAnsi="Arial" w:cs="Arial"/>
          <w:b/>
          <w:sz w:val="22"/>
          <w:lang w:val="fr-CH"/>
        </w:rPr>
        <w:tab/>
      </w:r>
      <w:r w:rsidR="007327F1" w:rsidRPr="007327F1">
        <w:rPr>
          <w:rFonts w:ascii="Arial" w:hAnsi="Arial" w:cs="Arial"/>
          <w:b/>
          <w:i w:val="0"/>
          <w:sz w:val="22"/>
          <w:lang w:val="fr-CH"/>
        </w:rPr>
        <w:t>Mises au concours et adjudications</w:t>
      </w:r>
    </w:p>
    <w:p w14:paraId="681FC9E8" w14:textId="6EFEDD12" w:rsidR="007327F1" w:rsidRPr="007327F1" w:rsidRDefault="007327F1" w:rsidP="007327F1">
      <w:pPr>
        <w:spacing w:before="80" w:line="240" w:lineRule="auto"/>
        <w:jc w:val="both"/>
        <w:rPr>
          <w:rFonts w:eastAsia="Times New Roman"/>
          <w:sz w:val="22"/>
          <w:lang w:val="fr-CH" w:eastAsia="de-DE"/>
        </w:rPr>
      </w:pPr>
      <w:r w:rsidRPr="007327F1">
        <w:rPr>
          <w:rFonts w:eastAsia="Times New Roman"/>
          <w:sz w:val="22"/>
          <w:vertAlign w:val="superscript"/>
          <w:lang w:val="fr-CH" w:eastAsia="de-DE"/>
        </w:rPr>
        <w:t>1 </w:t>
      </w:r>
      <w:r w:rsidRPr="007327F1">
        <w:rPr>
          <w:rFonts w:eastAsia="Times New Roman"/>
          <w:sz w:val="22"/>
          <w:lang w:val="fr-CH" w:eastAsia="de-DE"/>
        </w:rPr>
        <w:t>L’entreprise s’engage à adjuger les mandats pour les investissements financés selon l’art.</w:t>
      </w:r>
      <w:r w:rsidR="007E5C2A">
        <w:rPr>
          <w:rFonts w:eastAsia="Times New Roman"/>
          <w:sz w:val="22"/>
          <w:lang w:val="fr-CH" w:eastAsia="de-DE"/>
        </w:rPr>
        <w:t> </w:t>
      </w:r>
      <w:r w:rsidRPr="007327F1">
        <w:rPr>
          <w:rFonts w:eastAsia="Times New Roman"/>
          <w:sz w:val="22"/>
          <w:lang w:val="fr-CH" w:eastAsia="de-DE"/>
        </w:rPr>
        <w:t>51</w:t>
      </w:r>
      <w:r w:rsidRPr="007327F1">
        <w:rPr>
          <w:rFonts w:eastAsia="Times New Roman"/>
          <w:i/>
          <w:iCs/>
          <w:sz w:val="22"/>
          <w:lang w:val="fr-CH" w:eastAsia="de-DE"/>
        </w:rPr>
        <w:t>b</w:t>
      </w:r>
      <w:r w:rsidRPr="007327F1">
        <w:rPr>
          <w:rFonts w:eastAsia="Times New Roman"/>
          <w:sz w:val="22"/>
          <w:lang w:val="fr-CH" w:eastAsia="de-DE"/>
        </w:rPr>
        <w:t xml:space="preserve"> </w:t>
      </w:r>
      <w:proofErr w:type="spellStart"/>
      <w:r w:rsidRPr="007327F1">
        <w:rPr>
          <w:rFonts w:eastAsia="Times New Roman"/>
          <w:sz w:val="22"/>
          <w:lang w:val="fr-CH" w:eastAsia="de-DE"/>
        </w:rPr>
        <w:t>LCdF</w:t>
      </w:r>
      <w:proofErr w:type="spellEnd"/>
      <w:r w:rsidRPr="007327F1">
        <w:rPr>
          <w:rFonts w:eastAsia="Times New Roman"/>
          <w:sz w:val="22"/>
          <w:lang w:val="fr-CH" w:eastAsia="de-DE"/>
        </w:rPr>
        <w:t xml:space="preserve"> en vertu des principes de l’économie de marché.</w:t>
      </w:r>
    </w:p>
    <w:p w14:paraId="2691BD7F" w14:textId="77777777" w:rsidR="007327F1" w:rsidRPr="007327F1" w:rsidRDefault="007327F1" w:rsidP="007327F1">
      <w:pPr>
        <w:spacing w:before="80" w:line="240" w:lineRule="auto"/>
        <w:jc w:val="both"/>
        <w:rPr>
          <w:rFonts w:eastAsia="Times New Roman"/>
          <w:sz w:val="22"/>
          <w:lang w:val="fr-CH" w:eastAsia="de-DE"/>
        </w:rPr>
      </w:pPr>
      <w:r w:rsidRPr="007327F1">
        <w:rPr>
          <w:rFonts w:eastAsia="Times New Roman"/>
          <w:sz w:val="22"/>
          <w:vertAlign w:val="superscript"/>
          <w:lang w:val="fr-CH" w:eastAsia="de-DE"/>
        </w:rPr>
        <w:t>2 </w:t>
      </w:r>
      <w:r w:rsidRPr="007327F1">
        <w:rPr>
          <w:rFonts w:eastAsia="Times New Roman"/>
          <w:sz w:val="22"/>
          <w:lang w:val="fr-CH" w:eastAsia="de-DE"/>
        </w:rPr>
        <w:t>[Variante 1] La Confédération étant actionnaire majoritaire de la [SA XXX], la procédure de mise au concours est en principe régie par la LMP, ainsi que par la procédure juridique prévue dans ce cadre et la possibilité de faire appel aux instances fédérales de recours (tribunal administratif fédéral, tribunal fédéral).</w:t>
      </w:r>
    </w:p>
    <w:p w14:paraId="401F8069" w14:textId="599EA9BE" w:rsidR="007327F1" w:rsidRPr="007327F1" w:rsidRDefault="007327F1" w:rsidP="007327F1">
      <w:pPr>
        <w:spacing w:before="80" w:line="240" w:lineRule="auto"/>
        <w:jc w:val="both"/>
        <w:rPr>
          <w:rFonts w:eastAsia="Times New Roman"/>
          <w:sz w:val="22"/>
          <w:lang w:val="fr-CH" w:eastAsia="de-DE"/>
        </w:rPr>
      </w:pPr>
      <w:r w:rsidRPr="007327F1">
        <w:rPr>
          <w:rFonts w:eastAsia="Times New Roman"/>
          <w:sz w:val="22"/>
          <w:lang w:val="fr-CH" w:eastAsia="de-DE"/>
        </w:rPr>
        <w:t xml:space="preserve">[Variante 2, </w:t>
      </w:r>
      <w:proofErr w:type="spellStart"/>
      <w:r w:rsidRPr="007327F1">
        <w:rPr>
          <w:rFonts w:eastAsia="Times New Roman"/>
          <w:sz w:val="22"/>
          <w:lang w:val="fr-CH" w:eastAsia="de-DE"/>
        </w:rPr>
        <w:t>év</w:t>
      </w:r>
      <w:proofErr w:type="spellEnd"/>
      <w:r w:rsidRPr="007327F1">
        <w:rPr>
          <w:rFonts w:eastAsia="Times New Roman"/>
          <w:sz w:val="22"/>
          <w:lang w:val="fr-CH" w:eastAsia="de-DE"/>
        </w:rPr>
        <w:t xml:space="preserve">. </w:t>
      </w:r>
      <w:proofErr w:type="gramStart"/>
      <w:r w:rsidRPr="007327F1">
        <w:rPr>
          <w:rFonts w:eastAsia="Times New Roman"/>
          <w:sz w:val="22"/>
          <w:lang w:val="fr-CH" w:eastAsia="de-DE"/>
        </w:rPr>
        <w:t>droit</w:t>
      </w:r>
      <w:proofErr w:type="gramEnd"/>
      <w:r w:rsidRPr="007327F1">
        <w:rPr>
          <w:rFonts w:eastAsia="Times New Roman"/>
          <w:sz w:val="22"/>
          <w:lang w:val="fr-CH" w:eastAsia="de-DE"/>
        </w:rPr>
        <w:t xml:space="preserve"> cantonal] La Confédération n’étant pas actionnaire majoritaire de l’entreprise, la procédure de mise au concours est régie par l’AIMP</w:t>
      </w:r>
      <w:r w:rsidR="007E5C2A">
        <w:rPr>
          <w:rFonts w:eastAsia="Times New Roman"/>
          <w:sz w:val="22"/>
          <w:lang w:val="fr-CH" w:eastAsia="de-DE"/>
        </w:rPr>
        <w:t xml:space="preserve"> sous réserve de l’art. 5 LMP</w:t>
      </w:r>
      <w:r w:rsidRPr="007327F1">
        <w:rPr>
          <w:rFonts w:eastAsia="Times New Roman"/>
          <w:sz w:val="22"/>
          <w:lang w:val="fr-CH" w:eastAsia="de-DE"/>
        </w:rPr>
        <w:t>.</w:t>
      </w:r>
    </w:p>
    <w:p w14:paraId="5528B46D" w14:textId="77777777" w:rsidR="008E39FF" w:rsidRPr="00B52C72" w:rsidRDefault="008E39FF" w:rsidP="008E39FF">
      <w:pPr>
        <w:pStyle w:val="Absatz"/>
        <w:spacing w:line="240" w:lineRule="auto"/>
        <w:rPr>
          <w:rFonts w:ascii="Arial" w:hAnsi="Arial" w:cs="Arial"/>
          <w:sz w:val="22"/>
          <w:szCs w:val="22"/>
          <w:lang w:val="fr-CH"/>
        </w:rPr>
      </w:pPr>
    </w:p>
    <w:p w14:paraId="159E928A" w14:textId="7A97DFC0" w:rsidR="00243EBA" w:rsidRPr="00E4385B" w:rsidRDefault="007E5C2A" w:rsidP="000A0102">
      <w:pPr>
        <w:pStyle w:val="TitelAnhKurztit"/>
        <w:spacing w:line="240" w:lineRule="auto"/>
        <w:rPr>
          <w:rFonts w:ascii="Arial" w:hAnsi="Arial" w:cs="Arial"/>
          <w:sz w:val="24"/>
          <w:lang w:val="fr-CH"/>
        </w:rPr>
      </w:pPr>
      <w:r>
        <w:rPr>
          <w:rFonts w:ascii="Arial" w:hAnsi="Arial" w:cs="Arial"/>
          <w:sz w:val="24"/>
          <w:lang w:val="fr-CH"/>
        </w:rPr>
        <w:t>Section 7</w:t>
      </w:r>
      <w:r>
        <w:rPr>
          <w:rFonts w:ascii="Arial" w:hAnsi="Arial" w:cs="Arial"/>
          <w:sz w:val="24"/>
          <w:lang w:val="fr-CH"/>
        </w:rPr>
        <w:tab/>
        <w:t>Suivi</w:t>
      </w:r>
    </w:p>
    <w:p w14:paraId="7F6882E8" w14:textId="5F5AB299" w:rsidR="00243EBA" w:rsidRPr="00E4385B" w:rsidRDefault="00243EBA" w:rsidP="00617E6D">
      <w:pPr>
        <w:pStyle w:val="TitelArtikelKomm"/>
        <w:spacing w:line="360" w:lineRule="auto"/>
        <w:rPr>
          <w:rFonts w:ascii="Arial" w:hAnsi="Arial" w:cs="Arial"/>
          <w:b/>
          <w:sz w:val="22"/>
          <w:lang w:val="fr-CH"/>
        </w:rPr>
      </w:pPr>
      <w:r w:rsidRPr="00E4385B">
        <w:rPr>
          <w:rFonts w:ascii="Arial" w:hAnsi="Arial" w:cs="Arial"/>
          <w:b/>
          <w:i w:val="0"/>
          <w:sz w:val="22"/>
          <w:lang w:val="fr-CH"/>
        </w:rPr>
        <w:t>Art.</w:t>
      </w:r>
      <w:r w:rsidR="007E5C2A">
        <w:rPr>
          <w:rFonts w:ascii="Arial" w:hAnsi="Arial" w:cs="Arial"/>
          <w:b/>
          <w:i w:val="0"/>
          <w:sz w:val="22"/>
          <w:lang w:val="fr-CH"/>
        </w:rPr>
        <w:t> </w:t>
      </w:r>
      <w:r w:rsidRPr="00E4385B">
        <w:rPr>
          <w:rFonts w:ascii="Arial" w:hAnsi="Arial" w:cs="Arial"/>
          <w:b/>
          <w:i w:val="0"/>
          <w:sz w:val="22"/>
          <w:lang w:val="fr-CH"/>
        </w:rPr>
        <w:t>23</w:t>
      </w:r>
      <w:r w:rsidRPr="00E4385B">
        <w:rPr>
          <w:rFonts w:ascii="Arial" w:hAnsi="Arial" w:cs="Arial"/>
          <w:b/>
          <w:sz w:val="22"/>
          <w:lang w:val="fr-CH"/>
        </w:rPr>
        <w:tab/>
      </w:r>
      <w:r w:rsidR="007E5C2A" w:rsidRPr="007E5C2A">
        <w:rPr>
          <w:rFonts w:ascii="Arial" w:hAnsi="Arial" w:cs="Arial"/>
          <w:b/>
          <w:i w:val="0"/>
          <w:iCs/>
          <w:sz w:val="22"/>
          <w:lang w:val="fr-CH"/>
        </w:rPr>
        <w:t>É</w:t>
      </w:r>
      <w:r w:rsidR="007E5C2A">
        <w:rPr>
          <w:rFonts w:ascii="Arial" w:hAnsi="Arial" w:cs="Arial"/>
          <w:b/>
          <w:i w:val="0"/>
          <w:sz w:val="22"/>
          <w:lang w:val="fr-CH"/>
        </w:rPr>
        <w:t xml:space="preserve">tablissement de rapports </w:t>
      </w:r>
    </w:p>
    <w:p w14:paraId="25683D8F" w14:textId="585A1878" w:rsidR="007E5C2A" w:rsidRPr="007E5C2A" w:rsidRDefault="007E5C2A" w:rsidP="007E5C2A">
      <w:pPr>
        <w:spacing w:before="80" w:line="240" w:lineRule="auto"/>
        <w:jc w:val="both"/>
        <w:rPr>
          <w:rFonts w:eastAsia="Times New Roman"/>
          <w:sz w:val="22"/>
          <w:lang w:val="fr-CH" w:eastAsia="de-DE"/>
        </w:rPr>
      </w:pPr>
      <w:r w:rsidRPr="007E5C2A">
        <w:rPr>
          <w:rFonts w:eastAsia="Times New Roman"/>
          <w:sz w:val="22"/>
          <w:vertAlign w:val="superscript"/>
          <w:lang w:val="fr-CH" w:eastAsia="de-DE"/>
        </w:rPr>
        <w:t>1 </w:t>
      </w:r>
      <w:r w:rsidRPr="007E5C2A">
        <w:rPr>
          <w:rFonts w:eastAsia="Times New Roman"/>
          <w:sz w:val="22"/>
          <w:lang w:val="fr-CH" w:eastAsia="de-DE"/>
        </w:rPr>
        <w:t xml:space="preserve">L’entreprise informe l’OFT du degré de réalisation des objectifs et de l’avancement des projets. L’étendue de l’établissement de rapport sur les projets se base sur les exigences </w:t>
      </w:r>
      <w:r w:rsidR="008D480D">
        <w:rPr>
          <w:rFonts w:eastAsia="Times New Roman"/>
          <w:sz w:val="22"/>
          <w:lang w:val="fr-CH" w:eastAsia="de-DE"/>
        </w:rPr>
        <w:t>du SB-CCP</w:t>
      </w:r>
      <w:r w:rsidRPr="007E5C2A">
        <w:rPr>
          <w:rFonts w:eastAsia="Times New Roman"/>
          <w:sz w:val="22"/>
          <w:lang w:val="fr-CH" w:eastAsia="de-DE"/>
        </w:rPr>
        <w:t xml:space="preserve">. </w:t>
      </w:r>
      <w:r w:rsidR="008D480D">
        <w:rPr>
          <w:rFonts w:eastAsia="Times New Roman"/>
          <w:sz w:val="22"/>
          <w:lang w:val="fr-CH" w:eastAsia="de-DE"/>
        </w:rPr>
        <w:t>L’entreprise</w:t>
      </w:r>
      <w:r w:rsidRPr="007E5C2A">
        <w:rPr>
          <w:rFonts w:eastAsia="Times New Roman"/>
          <w:sz w:val="22"/>
          <w:lang w:val="fr-CH" w:eastAsia="de-DE"/>
        </w:rPr>
        <w:t xml:space="preserve"> </w:t>
      </w:r>
      <w:r w:rsidR="008D480D">
        <w:rPr>
          <w:rFonts w:eastAsia="Times New Roman"/>
          <w:sz w:val="22"/>
          <w:lang w:val="fr-CH" w:eastAsia="de-DE"/>
        </w:rPr>
        <w:t>informe</w:t>
      </w:r>
      <w:r w:rsidRPr="007E5C2A">
        <w:rPr>
          <w:rFonts w:eastAsia="Times New Roman"/>
          <w:sz w:val="22"/>
          <w:lang w:val="fr-CH" w:eastAsia="de-DE"/>
        </w:rPr>
        <w:t xml:space="preserve"> notamment </w:t>
      </w:r>
      <w:r w:rsidR="008D480D">
        <w:rPr>
          <w:rFonts w:eastAsia="Times New Roman"/>
          <w:sz w:val="22"/>
          <w:lang w:val="fr-CH" w:eastAsia="de-DE"/>
        </w:rPr>
        <w:t xml:space="preserve">l’OFT </w:t>
      </w:r>
      <w:r w:rsidRPr="007E5C2A">
        <w:rPr>
          <w:rFonts w:eastAsia="Times New Roman"/>
          <w:sz w:val="22"/>
          <w:lang w:val="fr-CH" w:eastAsia="de-DE"/>
        </w:rPr>
        <w:t xml:space="preserve">dans </w:t>
      </w:r>
      <w:r w:rsidR="008D480D">
        <w:rPr>
          <w:rFonts w:eastAsia="Times New Roman"/>
          <w:sz w:val="22"/>
          <w:lang w:val="fr-CH" w:eastAsia="de-DE"/>
        </w:rPr>
        <w:t xml:space="preserve">les meilleurs délais </w:t>
      </w:r>
      <w:r w:rsidR="00311CE6">
        <w:rPr>
          <w:rFonts w:eastAsia="Times New Roman"/>
          <w:sz w:val="22"/>
          <w:lang w:val="fr-CH" w:eastAsia="de-DE"/>
        </w:rPr>
        <w:t>si</w:t>
      </w:r>
      <w:r w:rsidR="008D480D">
        <w:rPr>
          <w:rFonts w:eastAsia="Times New Roman"/>
          <w:sz w:val="22"/>
          <w:lang w:val="fr-CH" w:eastAsia="de-DE"/>
        </w:rPr>
        <w:t xml:space="preserve"> des projets conform</w:t>
      </w:r>
      <w:r w:rsidR="00311CE6">
        <w:rPr>
          <w:rFonts w:eastAsia="Times New Roman"/>
          <w:sz w:val="22"/>
          <w:lang w:val="fr-CH" w:eastAsia="de-DE"/>
        </w:rPr>
        <w:t>es</w:t>
      </w:r>
      <w:r w:rsidR="008D480D">
        <w:rPr>
          <w:rFonts w:eastAsia="Times New Roman"/>
          <w:sz w:val="22"/>
          <w:lang w:val="fr-CH" w:eastAsia="de-DE"/>
        </w:rPr>
        <w:t xml:space="preserve"> au SB-CCP </w:t>
      </w:r>
      <w:r w:rsidR="00311CE6">
        <w:rPr>
          <w:rFonts w:eastAsia="Times New Roman"/>
          <w:sz w:val="22"/>
          <w:lang w:val="fr-CH" w:eastAsia="de-DE"/>
        </w:rPr>
        <w:t xml:space="preserve">subissent des écarts majeurs </w:t>
      </w:r>
      <w:r w:rsidR="008D480D">
        <w:rPr>
          <w:rFonts w:eastAsia="Times New Roman"/>
          <w:sz w:val="22"/>
          <w:lang w:val="fr-CH" w:eastAsia="de-DE"/>
        </w:rPr>
        <w:t>(</w:t>
      </w:r>
      <w:r w:rsidR="00A85316">
        <w:rPr>
          <w:rFonts w:eastAsia="Times New Roman"/>
          <w:sz w:val="22"/>
          <w:lang w:val="fr-CH" w:eastAsia="de-DE"/>
        </w:rPr>
        <w:t>annonce immédiate)</w:t>
      </w:r>
      <w:r w:rsidRPr="007E5C2A">
        <w:rPr>
          <w:rFonts w:eastAsia="Times New Roman"/>
          <w:sz w:val="22"/>
          <w:lang w:val="fr-CH" w:eastAsia="de-DE"/>
        </w:rPr>
        <w:t>. L’entreprise informe les cantons concernés des thèmes liés à la présente convention en principe dans le cadre de la coordination entre les secteurs Infrastructure et Transport. Outre des discussions régulières, l’établissement de rapport se fait via la WDI et comporte</w:t>
      </w:r>
      <w:r w:rsidR="008D480D">
        <w:rPr>
          <w:rFonts w:eastAsia="Times New Roman"/>
          <w:sz w:val="22"/>
          <w:lang w:val="fr-CH" w:eastAsia="de-DE"/>
        </w:rPr>
        <w:t> </w:t>
      </w:r>
      <w:r w:rsidRPr="007E5C2A">
        <w:rPr>
          <w:rFonts w:eastAsia="Times New Roman"/>
          <w:sz w:val="22"/>
          <w:lang w:val="fr-CH" w:eastAsia="de-DE"/>
        </w:rPr>
        <w:t>:</w:t>
      </w:r>
    </w:p>
    <w:p w14:paraId="2B0E5E5C" w14:textId="54B9BD9B" w:rsidR="007E5C2A" w:rsidRPr="007E5C2A" w:rsidRDefault="007E5C2A" w:rsidP="007E5C2A">
      <w:pPr>
        <w:tabs>
          <w:tab w:val="left" w:pos="567"/>
        </w:tabs>
        <w:spacing w:before="80" w:line="240" w:lineRule="auto"/>
        <w:ind w:left="567" w:hanging="357"/>
        <w:jc w:val="both"/>
        <w:rPr>
          <w:rFonts w:eastAsia="Times New Roman"/>
          <w:sz w:val="22"/>
          <w:lang w:val="fr-CH" w:eastAsia="de-DE"/>
        </w:rPr>
      </w:pPr>
      <w:r w:rsidRPr="007E5C2A">
        <w:rPr>
          <w:rFonts w:eastAsia="Times New Roman"/>
          <w:sz w:val="22"/>
          <w:lang w:val="fr-CH" w:eastAsia="de-DE"/>
        </w:rPr>
        <w:t>a.</w:t>
      </w:r>
      <w:r w:rsidRPr="007E5C2A">
        <w:rPr>
          <w:rFonts w:eastAsia="Times New Roman"/>
          <w:sz w:val="22"/>
          <w:lang w:val="fr-CH" w:eastAsia="de-DE"/>
        </w:rPr>
        <w:tab/>
      </w:r>
      <w:r w:rsidR="00A85316">
        <w:rPr>
          <w:rFonts w:eastAsia="Times New Roman"/>
          <w:sz w:val="22"/>
          <w:lang w:val="fr-CH" w:eastAsia="de-DE"/>
        </w:rPr>
        <w:t xml:space="preserve">le </w:t>
      </w:r>
      <w:r w:rsidRPr="007E5C2A">
        <w:rPr>
          <w:rFonts w:eastAsia="Times New Roman"/>
          <w:sz w:val="22"/>
          <w:lang w:val="fr-CH" w:eastAsia="de-DE"/>
        </w:rPr>
        <w:t>rapport intermédiaire</w:t>
      </w:r>
      <w:r w:rsidR="00A85316">
        <w:rPr>
          <w:rFonts w:eastAsia="Times New Roman"/>
          <w:sz w:val="22"/>
          <w:lang w:val="fr-CH" w:eastAsia="de-DE"/>
        </w:rPr>
        <w:t xml:space="preserve"> au 30 juin </w:t>
      </w:r>
      <w:r w:rsidRPr="007E5C2A">
        <w:rPr>
          <w:rFonts w:eastAsia="Times New Roman"/>
          <w:sz w:val="22"/>
          <w:lang w:val="fr-CH" w:eastAsia="de-DE"/>
        </w:rPr>
        <w:t xml:space="preserve">pour les projets </w:t>
      </w:r>
      <w:r w:rsidR="00A85316">
        <w:rPr>
          <w:rFonts w:eastAsia="Times New Roman"/>
          <w:sz w:val="22"/>
          <w:lang w:val="fr-CH" w:eastAsia="de-DE"/>
        </w:rPr>
        <w:t>selon le SB-CCP ainsi qu’une mise à jour du plan d’investissement</w:t>
      </w:r>
      <w:r w:rsidR="00311CE6">
        <w:rPr>
          <w:rFonts w:eastAsia="Times New Roman"/>
          <w:sz w:val="22"/>
          <w:lang w:val="fr-CH" w:eastAsia="de-DE"/>
        </w:rPr>
        <w:t>, à transmettre</w:t>
      </w:r>
      <w:r w:rsidR="00A85316">
        <w:rPr>
          <w:rFonts w:eastAsia="Times New Roman"/>
          <w:sz w:val="22"/>
          <w:lang w:val="fr-CH" w:eastAsia="de-DE"/>
        </w:rPr>
        <w:t xml:space="preserve"> au plus tard </w:t>
      </w:r>
      <w:r w:rsidR="00311CE6">
        <w:rPr>
          <w:rFonts w:eastAsia="Times New Roman"/>
          <w:sz w:val="22"/>
          <w:lang w:val="fr-CH" w:eastAsia="de-DE"/>
        </w:rPr>
        <w:t>le</w:t>
      </w:r>
      <w:r w:rsidR="00A85316">
        <w:rPr>
          <w:rFonts w:eastAsia="Times New Roman"/>
          <w:sz w:val="22"/>
          <w:lang w:val="fr-CH" w:eastAsia="de-DE"/>
        </w:rPr>
        <w:t xml:space="preserve"> 31 août</w:t>
      </w:r>
      <w:r w:rsidR="008343C1">
        <w:rPr>
          <w:rFonts w:eastAsia="Times New Roman"/>
          <w:sz w:val="22"/>
          <w:lang w:val="fr-CH" w:eastAsia="de-DE"/>
        </w:rPr>
        <w:t> </w:t>
      </w:r>
      <w:r w:rsidRPr="007E5C2A">
        <w:rPr>
          <w:rFonts w:eastAsia="Times New Roman"/>
          <w:sz w:val="22"/>
          <w:lang w:val="fr-CH" w:eastAsia="de-DE"/>
        </w:rPr>
        <w:t>;</w:t>
      </w:r>
    </w:p>
    <w:p w14:paraId="6146A6DE" w14:textId="4AE145FF" w:rsidR="007E5C2A" w:rsidRPr="007E5C2A" w:rsidRDefault="007E5C2A" w:rsidP="007E5C2A">
      <w:pPr>
        <w:tabs>
          <w:tab w:val="left" w:pos="567"/>
        </w:tabs>
        <w:spacing w:before="80" w:line="240" w:lineRule="auto"/>
        <w:ind w:left="567" w:hanging="357"/>
        <w:jc w:val="both"/>
        <w:rPr>
          <w:rFonts w:eastAsia="Times New Roman"/>
          <w:sz w:val="22"/>
          <w:lang w:val="fr-CH" w:eastAsia="de-DE"/>
        </w:rPr>
      </w:pPr>
      <w:r w:rsidRPr="007E5C2A">
        <w:rPr>
          <w:rFonts w:eastAsia="Times New Roman"/>
          <w:sz w:val="22"/>
          <w:lang w:val="fr-CH" w:eastAsia="de-DE"/>
        </w:rPr>
        <w:t>b.</w:t>
      </w:r>
      <w:r w:rsidRPr="007E5C2A">
        <w:rPr>
          <w:rFonts w:eastAsia="Times New Roman"/>
          <w:sz w:val="22"/>
          <w:lang w:val="fr-CH" w:eastAsia="de-DE"/>
        </w:rPr>
        <w:tab/>
        <w:t>des annonces en cours d’année au sujet d’adaptations soumises à autorisation du plan d’investissement (changements de programme)</w:t>
      </w:r>
      <w:r w:rsidR="00A85316">
        <w:rPr>
          <w:rFonts w:eastAsia="Times New Roman"/>
          <w:sz w:val="22"/>
          <w:lang w:val="fr-CH" w:eastAsia="de-DE"/>
        </w:rPr>
        <w:t> </w:t>
      </w:r>
      <w:r w:rsidRPr="007E5C2A">
        <w:rPr>
          <w:rFonts w:eastAsia="Times New Roman"/>
          <w:sz w:val="22"/>
          <w:lang w:val="fr-CH" w:eastAsia="de-DE"/>
        </w:rPr>
        <w:t>;</w:t>
      </w:r>
    </w:p>
    <w:p w14:paraId="6E7C7C5F" w14:textId="3159A8BF" w:rsidR="007E5C2A" w:rsidRPr="007E5C2A" w:rsidRDefault="007E5C2A" w:rsidP="007E5C2A">
      <w:pPr>
        <w:tabs>
          <w:tab w:val="left" w:pos="567"/>
        </w:tabs>
        <w:spacing w:before="80" w:line="240" w:lineRule="auto"/>
        <w:ind w:left="567" w:hanging="357"/>
        <w:jc w:val="both"/>
        <w:rPr>
          <w:rFonts w:eastAsia="Times New Roman"/>
          <w:sz w:val="22"/>
          <w:lang w:val="fr-CH" w:eastAsia="de-DE"/>
        </w:rPr>
      </w:pPr>
      <w:r w:rsidRPr="007E5C2A">
        <w:rPr>
          <w:rFonts w:eastAsia="Times New Roman"/>
          <w:sz w:val="22"/>
          <w:lang w:val="fr-CH" w:eastAsia="de-DE"/>
        </w:rPr>
        <w:t>c.</w:t>
      </w:r>
      <w:r w:rsidRPr="007E5C2A">
        <w:rPr>
          <w:rFonts w:eastAsia="Times New Roman"/>
          <w:sz w:val="22"/>
          <w:lang w:val="fr-CH" w:eastAsia="de-DE"/>
        </w:rPr>
        <w:tab/>
        <w:t>un rapport annuel au 31</w:t>
      </w:r>
      <w:r w:rsidR="00A85316">
        <w:rPr>
          <w:rFonts w:eastAsia="Times New Roman"/>
          <w:sz w:val="22"/>
          <w:lang w:val="fr-CH" w:eastAsia="de-DE"/>
        </w:rPr>
        <w:t> </w:t>
      </w:r>
      <w:r w:rsidRPr="007E5C2A">
        <w:rPr>
          <w:rFonts w:eastAsia="Times New Roman"/>
          <w:sz w:val="22"/>
          <w:lang w:val="fr-CH" w:eastAsia="de-DE"/>
        </w:rPr>
        <w:t>décembre, livré au plus tard le 30</w:t>
      </w:r>
      <w:r w:rsidR="00A85316">
        <w:rPr>
          <w:rFonts w:eastAsia="Times New Roman"/>
          <w:sz w:val="22"/>
          <w:lang w:val="fr-CH" w:eastAsia="de-DE"/>
        </w:rPr>
        <w:t> </w:t>
      </w:r>
      <w:r w:rsidRPr="007E5C2A">
        <w:rPr>
          <w:rFonts w:eastAsia="Times New Roman"/>
          <w:sz w:val="22"/>
          <w:lang w:val="fr-CH" w:eastAsia="de-DE"/>
        </w:rPr>
        <w:t>avril de l’année suivante, et qui comprend notamment</w:t>
      </w:r>
      <w:r w:rsidR="00A85316">
        <w:rPr>
          <w:rFonts w:eastAsia="Times New Roman"/>
          <w:sz w:val="22"/>
          <w:lang w:val="fr-CH" w:eastAsia="de-DE"/>
        </w:rPr>
        <w:t> </w:t>
      </w:r>
      <w:r w:rsidRPr="007E5C2A">
        <w:rPr>
          <w:rFonts w:eastAsia="Times New Roman"/>
          <w:sz w:val="22"/>
          <w:lang w:val="fr-CH" w:eastAsia="de-DE"/>
        </w:rPr>
        <w:t>:</w:t>
      </w:r>
    </w:p>
    <w:p w14:paraId="38BC2DAA" w14:textId="57AB833F" w:rsidR="007E5C2A" w:rsidRPr="007E5C2A" w:rsidRDefault="007E5C2A" w:rsidP="007E5C2A">
      <w:pPr>
        <w:tabs>
          <w:tab w:val="left" w:pos="924"/>
        </w:tabs>
        <w:spacing w:before="40" w:line="240" w:lineRule="auto"/>
        <w:ind w:left="924" w:hanging="357"/>
        <w:jc w:val="both"/>
        <w:rPr>
          <w:rFonts w:eastAsia="Times New Roman"/>
          <w:sz w:val="22"/>
          <w:lang w:val="fr-CH" w:eastAsia="de-DE"/>
        </w:rPr>
      </w:pPr>
      <w:r w:rsidRPr="007E5C2A">
        <w:rPr>
          <w:rFonts w:eastAsia="Times New Roman"/>
          <w:sz w:val="22"/>
          <w:lang w:val="fr-CH" w:eastAsia="de-DE"/>
        </w:rPr>
        <w:t>1.</w:t>
      </w:r>
      <w:r w:rsidRPr="007E5C2A">
        <w:rPr>
          <w:rFonts w:eastAsia="Times New Roman"/>
          <w:sz w:val="22"/>
          <w:lang w:val="fr-CH" w:eastAsia="de-DE"/>
        </w:rPr>
        <w:tab/>
        <w:t>la transmission des données</w:t>
      </w:r>
      <w:r w:rsidR="00A85316">
        <w:rPr>
          <w:rFonts w:eastAsia="Times New Roman"/>
          <w:sz w:val="22"/>
          <w:lang w:val="fr-CH" w:eastAsia="de-DE"/>
        </w:rPr>
        <w:t> </w:t>
      </w:r>
      <w:r w:rsidRPr="007E5C2A">
        <w:rPr>
          <w:rFonts w:eastAsia="Times New Roman"/>
          <w:sz w:val="22"/>
          <w:lang w:val="fr-CH" w:eastAsia="de-DE"/>
        </w:rPr>
        <w:t>;</w:t>
      </w:r>
    </w:p>
    <w:p w14:paraId="2630B4FE" w14:textId="51EF6294" w:rsidR="007E5C2A" w:rsidRPr="007E5C2A" w:rsidRDefault="007E5C2A" w:rsidP="007E5C2A">
      <w:pPr>
        <w:tabs>
          <w:tab w:val="left" w:pos="924"/>
        </w:tabs>
        <w:spacing w:before="40" w:line="240" w:lineRule="auto"/>
        <w:ind w:left="924" w:hanging="357"/>
        <w:jc w:val="both"/>
        <w:rPr>
          <w:rFonts w:eastAsia="Times New Roman"/>
          <w:sz w:val="22"/>
          <w:lang w:val="fr-CH" w:eastAsia="de-DE"/>
        </w:rPr>
      </w:pPr>
      <w:r w:rsidRPr="007E5C2A">
        <w:rPr>
          <w:rFonts w:eastAsia="Times New Roman"/>
          <w:sz w:val="22"/>
          <w:lang w:val="fr-CH" w:eastAsia="de-DE"/>
        </w:rPr>
        <w:lastRenderedPageBreak/>
        <w:t>2.</w:t>
      </w:r>
      <w:r w:rsidRPr="007E5C2A">
        <w:rPr>
          <w:rFonts w:eastAsia="Times New Roman"/>
          <w:sz w:val="22"/>
          <w:lang w:val="fr-CH" w:eastAsia="de-DE"/>
        </w:rPr>
        <w:tab/>
        <w:t xml:space="preserve">le rapport de gestion </w:t>
      </w:r>
      <w:r w:rsidR="00A85316" w:rsidRPr="00A85316">
        <w:rPr>
          <w:rFonts w:eastAsia="Times New Roman"/>
          <w:sz w:val="22"/>
          <w:lang w:val="fr-CH" w:eastAsia="de-DE"/>
        </w:rPr>
        <w:t>(y c</w:t>
      </w:r>
      <w:r w:rsidR="00311CE6">
        <w:rPr>
          <w:rFonts w:eastAsia="Times New Roman"/>
          <w:sz w:val="22"/>
          <w:lang w:val="fr-CH" w:eastAsia="de-DE"/>
        </w:rPr>
        <w:t>. </w:t>
      </w:r>
      <w:r w:rsidR="00A85316" w:rsidRPr="00A85316">
        <w:rPr>
          <w:rFonts w:eastAsia="Times New Roman"/>
          <w:sz w:val="22"/>
          <w:lang w:val="fr-CH" w:eastAsia="de-DE"/>
        </w:rPr>
        <w:t>le rapport financier s’il est établi séparément)</w:t>
      </w:r>
      <w:r w:rsidR="00A85316">
        <w:rPr>
          <w:rFonts w:eastAsia="Times New Roman"/>
          <w:sz w:val="22"/>
          <w:lang w:val="fr-CH" w:eastAsia="de-DE"/>
        </w:rPr>
        <w:t xml:space="preserve"> </w:t>
      </w:r>
      <w:r w:rsidRPr="007E5C2A">
        <w:rPr>
          <w:rFonts w:eastAsia="Times New Roman"/>
          <w:sz w:val="22"/>
          <w:lang w:val="fr-CH" w:eastAsia="de-DE"/>
        </w:rPr>
        <w:t>en cours d’élaboration</w:t>
      </w:r>
      <w:r w:rsidR="00311CE6">
        <w:rPr>
          <w:rFonts w:eastAsia="Times New Roman"/>
          <w:sz w:val="22"/>
          <w:lang w:val="fr-CH" w:eastAsia="de-DE"/>
        </w:rPr>
        <w:t xml:space="preserve"> ou définitif, c’est-à-dire</w:t>
      </w:r>
      <w:r w:rsidR="00A85316">
        <w:rPr>
          <w:rFonts w:eastAsia="Times New Roman"/>
          <w:sz w:val="22"/>
          <w:lang w:val="fr-CH" w:eastAsia="de-DE"/>
        </w:rPr>
        <w:t xml:space="preserve"> </w:t>
      </w:r>
      <w:r w:rsidR="00311CE6">
        <w:rPr>
          <w:rFonts w:eastAsia="Times New Roman"/>
          <w:sz w:val="22"/>
          <w:lang w:val="fr-CH" w:eastAsia="de-DE"/>
        </w:rPr>
        <w:t>vérifié</w:t>
      </w:r>
      <w:r w:rsidR="00A85316">
        <w:rPr>
          <w:rFonts w:eastAsia="Times New Roman"/>
          <w:sz w:val="22"/>
          <w:lang w:val="fr-CH" w:eastAsia="de-DE"/>
        </w:rPr>
        <w:t xml:space="preserve"> par l’organe de révision </w:t>
      </w:r>
      <w:r w:rsidRPr="007E5C2A">
        <w:rPr>
          <w:rFonts w:eastAsia="Times New Roman"/>
          <w:sz w:val="22"/>
          <w:lang w:val="fr-CH" w:eastAsia="de-DE"/>
        </w:rPr>
        <w:t>;</w:t>
      </w:r>
    </w:p>
    <w:p w14:paraId="359C2CC5" w14:textId="589A2474" w:rsidR="007E5C2A" w:rsidRPr="007E5C2A" w:rsidRDefault="007E5C2A" w:rsidP="007E5C2A">
      <w:pPr>
        <w:tabs>
          <w:tab w:val="left" w:pos="924"/>
        </w:tabs>
        <w:spacing w:before="40" w:line="240" w:lineRule="auto"/>
        <w:ind w:left="924" w:hanging="357"/>
        <w:jc w:val="both"/>
        <w:rPr>
          <w:rFonts w:eastAsia="Times New Roman"/>
          <w:sz w:val="22"/>
          <w:lang w:val="fr-CH" w:eastAsia="de-DE"/>
        </w:rPr>
      </w:pPr>
      <w:r w:rsidRPr="007E5C2A">
        <w:rPr>
          <w:rFonts w:eastAsia="Times New Roman"/>
          <w:sz w:val="22"/>
          <w:lang w:val="fr-CH" w:eastAsia="de-DE"/>
        </w:rPr>
        <w:t>3.</w:t>
      </w:r>
      <w:r w:rsidRPr="007E5C2A">
        <w:rPr>
          <w:rFonts w:eastAsia="Times New Roman"/>
          <w:sz w:val="22"/>
          <w:lang w:val="fr-CH" w:eastAsia="de-DE"/>
        </w:rPr>
        <w:tab/>
        <w:t>les rapports relatifs aux projets A</w:t>
      </w:r>
      <w:r w:rsidR="00A85316">
        <w:rPr>
          <w:rFonts w:eastAsia="Times New Roman"/>
          <w:sz w:val="22"/>
          <w:lang w:val="fr-CH" w:eastAsia="de-DE"/>
        </w:rPr>
        <w:t xml:space="preserve"> selon le SB-CCP </w:t>
      </w:r>
      <w:r w:rsidRPr="007E5C2A">
        <w:rPr>
          <w:rFonts w:eastAsia="Times New Roman"/>
          <w:sz w:val="22"/>
          <w:lang w:val="fr-CH" w:eastAsia="de-DE"/>
        </w:rPr>
        <w:t>;</w:t>
      </w:r>
    </w:p>
    <w:p w14:paraId="436E59C2" w14:textId="1ACFCC42" w:rsidR="007E5C2A" w:rsidRPr="007E5C2A" w:rsidRDefault="007E5C2A" w:rsidP="007E5C2A">
      <w:pPr>
        <w:tabs>
          <w:tab w:val="left" w:pos="924"/>
        </w:tabs>
        <w:spacing w:before="40" w:line="240" w:lineRule="auto"/>
        <w:ind w:left="924" w:hanging="357"/>
        <w:jc w:val="both"/>
        <w:rPr>
          <w:rFonts w:eastAsia="Times New Roman"/>
          <w:sz w:val="22"/>
          <w:lang w:val="fr-CH" w:eastAsia="de-DE"/>
        </w:rPr>
      </w:pPr>
      <w:r w:rsidRPr="007E5C2A">
        <w:rPr>
          <w:rFonts w:eastAsia="Times New Roman"/>
          <w:sz w:val="22"/>
          <w:lang w:val="fr-CH" w:eastAsia="de-DE"/>
        </w:rPr>
        <w:t>4.</w:t>
      </w:r>
      <w:r w:rsidRPr="007E5C2A">
        <w:rPr>
          <w:rFonts w:eastAsia="Times New Roman"/>
          <w:sz w:val="22"/>
          <w:lang w:val="fr-CH" w:eastAsia="de-DE"/>
        </w:rPr>
        <w:tab/>
        <w:t>le rapport sur l’état du réseau selon la dernière RTE 29900</w:t>
      </w:r>
      <w:r w:rsidR="00A85316">
        <w:rPr>
          <w:rFonts w:eastAsia="Times New Roman"/>
          <w:sz w:val="22"/>
          <w:lang w:val="fr-CH" w:eastAsia="de-DE"/>
        </w:rPr>
        <w:t> </w:t>
      </w:r>
      <w:r w:rsidRPr="007E5C2A">
        <w:rPr>
          <w:rFonts w:eastAsia="Times New Roman"/>
          <w:sz w:val="22"/>
          <w:lang w:val="fr-CH" w:eastAsia="de-DE"/>
        </w:rPr>
        <w:t>;</w:t>
      </w:r>
    </w:p>
    <w:p w14:paraId="7B76394C" w14:textId="30DBD180" w:rsidR="007E5C2A" w:rsidRPr="007E5C2A" w:rsidRDefault="007E5C2A" w:rsidP="007E5C2A">
      <w:pPr>
        <w:tabs>
          <w:tab w:val="left" w:pos="924"/>
        </w:tabs>
        <w:spacing w:before="40" w:line="240" w:lineRule="auto"/>
        <w:ind w:left="924" w:hanging="357"/>
        <w:jc w:val="both"/>
        <w:rPr>
          <w:rFonts w:eastAsia="Times New Roman"/>
          <w:sz w:val="22"/>
          <w:lang w:val="fr-CH" w:eastAsia="de-DE"/>
        </w:rPr>
      </w:pPr>
      <w:r w:rsidRPr="007E5C2A">
        <w:rPr>
          <w:rFonts w:eastAsia="Times New Roman"/>
          <w:sz w:val="22"/>
          <w:lang w:val="fr-CH" w:eastAsia="de-DE"/>
        </w:rPr>
        <w:t xml:space="preserve">5. </w:t>
      </w:r>
      <w:r w:rsidRPr="007E5C2A">
        <w:rPr>
          <w:rFonts w:eastAsia="Times New Roman"/>
          <w:sz w:val="22"/>
          <w:lang w:val="fr-CH" w:eastAsia="de-DE"/>
        </w:rPr>
        <w:tab/>
        <w:t>les attestations de la rentabilité selon l’art.</w:t>
      </w:r>
      <w:r w:rsidR="00A85316">
        <w:rPr>
          <w:rFonts w:eastAsia="Times New Roman"/>
          <w:sz w:val="22"/>
          <w:lang w:val="fr-CH" w:eastAsia="de-DE"/>
        </w:rPr>
        <w:t> </w:t>
      </w:r>
      <w:r w:rsidRPr="007E5C2A">
        <w:rPr>
          <w:rFonts w:eastAsia="Times New Roman"/>
          <w:sz w:val="22"/>
          <w:lang w:val="fr-CH" w:eastAsia="de-DE"/>
        </w:rPr>
        <w:t>21, al.</w:t>
      </w:r>
      <w:r w:rsidR="00A85316">
        <w:rPr>
          <w:rFonts w:eastAsia="Times New Roman"/>
          <w:sz w:val="22"/>
          <w:lang w:val="fr-CH" w:eastAsia="de-DE"/>
        </w:rPr>
        <w:t> </w:t>
      </w:r>
      <w:r w:rsidRPr="007E5C2A">
        <w:rPr>
          <w:rFonts w:eastAsia="Times New Roman"/>
          <w:sz w:val="22"/>
          <w:lang w:val="fr-CH" w:eastAsia="de-DE"/>
        </w:rPr>
        <w:t>2, de la présente convention</w:t>
      </w:r>
      <w:r w:rsidR="00A85316">
        <w:rPr>
          <w:rFonts w:eastAsia="Times New Roman"/>
          <w:sz w:val="22"/>
          <w:lang w:val="fr-CH" w:eastAsia="de-DE"/>
        </w:rPr>
        <w:t> </w:t>
      </w:r>
      <w:r w:rsidRPr="007E5C2A">
        <w:rPr>
          <w:rFonts w:eastAsia="Times New Roman"/>
          <w:sz w:val="22"/>
          <w:lang w:val="fr-CH" w:eastAsia="de-DE"/>
        </w:rPr>
        <w:t>;</w:t>
      </w:r>
    </w:p>
    <w:p w14:paraId="0180FFF1" w14:textId="2C7558BF" w:rsidR="007E5C2A" w:rsidRPr="007E5C2A" w:rsidRDefault="007E5C2A" w:rsidP="007E5C2A">
      <w:pPr>
        <w:tabs>
          <w:tab w:val="left" w:pos="924"/>
        </w:tabs>
        <w:spacing w:before="40" w:line="240" w:lineRule="auto"/>
        <w:ind w:left="924" w:hanging="357"/>
        <w:jc w:val="both"/>
        <w:rPr>
          <w:rFonts w:eastAsia="Times New Roman"/>
          <w:sz w:val="22"/>
          <w:lang w:val="fr-CH" w:eastAsia="de-DE"/>
        </w:rPr>
      </w:pPr>
      <w:r w:rsidRPr="007E5C2A">
        <w:rPr>
          <w:rFonts w:eastAsia="Times New Roman"/>
          <w:sz w:val="22"/>
          <w:lang w:val="fr-CH" w:eastAsia="de-DE"/>
        </w:rPr>
        <w:t>6.</w:t>
      </w:r>
      <w:r w:rsidRPr="007E5C2A">
        <w:rPr>
          <w:rFonts w:eastAsia="Times New Roman"/>
          <w:sz w:val="22"/>
          <w:lang w:val="fr-CH" w:eastAsia="de-DE"/>
        </w:rPr>
        <w:tab/>
        <w:t xml:space="preserve">un rapport </w:t>
      </w:r>
      <w:r w:rsidR="00311CE6">
        <w:rPr>
          <w:rFonts w:eastAsia="Times New Roman"/>
          <w:sz w:val="22"/>
          <w:lang w:val="fr-CH" w:eastAsia="de-DE"/>
        </w:rPr>
        <w:t>de synthèse</w:t>
      </w:r>
      <w:r w:rsidR="00311CE6" w:rsidRPr="007E5C2A">
        <w:rPr>
          <w:rFonts w:eastAsia="Times New Roman"/>
          <w:sz w:val="22"/>
          <w:lang w:val="fr-CH" w:eastAsia="de-DE"/>
        </w:rPr>
        <w:t xml:space="preserve"> </w:t>
      </w:r>
      <w:r w:rsidRPr="007E5C2A">
        <w:rPr>
          <w:rFonts w:eastAsia="Times New Roman"/>
          <w:sz w:val="22"/>
          <w:lang w:val="fr-CH" w:eastAsia="de-DE"/>
        </w:rPr>
        <w:t xml:space="preserve">portant sur la mise en œuvre de la présente CP contenant </w:t>
      </w:r>
      <w:proofErr w:type="gramStart"/>
      <w:r w:rsidRPr="007E5C2A">
        <w:rPr>
          <w:rFonts w:eastAsia="Times New Roman"/>
          <w:sz w:val="22"/>
          <w:lang w:val="fr-CH" w:eastAsia="de-DE"/>
        </w:rPr>
        <w:t>des informations sur</w:t>
      </w:r>
      <w:proofErr w:type="gramEnd"/>
      <w:r w:rsidR="00A85316">
        <w:rPr>
          <w:rFonts w:eastAsia="Times New Roman"/>
          <w:sz w:val="22"/>
          <w:lang w:val="fr-CH" w:eastAsia="de-DE"/>
        </w:rPr>
        <w:t> </w:t>
      </w:r>
      <w:r w:rsidRPr="007E5C2A">
        <w:rPr>
          <w:rFonts w:eastAsia="Times New Roman"/>
          <w:sz w:val="22"/>
          <w:lang w:val="fr-CH" w:eastAsia="de-DE"/>
        </w:rPr>
        <w:t>:</w:t>
      </w:r>
    </w:p>
    <w:p w14:paraId="6364245B" w14:textId="53700D28" w:rsidR="007E5C2A" w:rsidRPr="007E5C2A" w:rsidRDefault="007E5C2A" w:rsidP="007E5C2A">
      <w:pPr>
        <w:tabs>
          <w:tab w:val="left" w:pos="1281"/>
        </w:tabs>
        <w:spacing w:line="240" w:lineRule="auto"/>
        <w:ind w:left="1281" w:hanging="357"/>
        <w:jc w:val="both"/>
        <w:rPr>
          <w:rFonts w:eastAsia="Times New Roman"/>
          <w:sz w:val="22"/>
          <w:lang w:val="fr-CH" w:eastAsia="de-DE"/>
        </w:rPr>
      </w:pPr>
      <w:r w:rsidRPr="007E5C2A">
        <w:rPr>
          <w:rFonts w:eastAsia="Times New Roman"/>
          <w:sz w:val="22"/>
          <w:lang w:val="fr-CH" w:eastAsia="de-DE"/>
        </w:rPr>
        <w:t>i.</w:t>
      </w:r>
      <w:r w:rsidRPr="007E5C2A">
        <w:rPr>
          <w:rFonts w:eastAsia="Times New Roman"/>
          <w:sz w:val="22"/>
          <w:lang w:val="fr-CH" w:eastAsia="de-DE"/>
        </w:rPr>
        <w:tab/>
        <w:t xml:space="preserve">les principales conclusions tirées des données </w:t>
      </w:r>
      <w:r w:rsidR="005B221D">
        <w:rPr>
          <w:rFonts w:eastAsia="Times New Roman"/>
          <w:sz w:val="22"/>
          <w:lang w:val="fr-CH" w:eastAsia="de-DE"/>
        </w:rPr>
        <w:t xml:space="preserve">WDI transmises avec justification des écarts par rapport à la dernière planification CP dans la WDI au niveau des recettes et des coûts (données financières) ainsi qu’au niveau des investissements (plan d’investissement) </w:t>
      </w:r>
      <w:r w:rsidR="00311CE6">
        <w:rPr>
          <w:rFonts w:eastAsia="Times New Roman"/>
          <w:sz w:val="22"/>
          <w:lang w:val="fr-CH" w:eastAsia="de-DE"/>
        </w:rPr>
        <w:t>dans</w:t>
      </w:r>
      <w:r w:rsidR="005B221D">
        <w:rPr>
          <w:rFonts w:eastAsia="Times New Roman"/>
          <w:sz w:val="22"/>
          <w:lang w:val="fr-CH" w:eastAsia="de-DE"/>
        </w:rPr>
        <w:t xml:space="preserve"> les projets </w:t>
      </w:r>
      <w:r w:rsidR="00311CE6">
        <w:rPr>
          <w:rFonts w:eastAsia="Times New Roman"/>
          <w:sz w:val="22"/>
          <w:lang w:val="fr-CH" w:eastAsia="de-DE"/>
        </w:rPr>
        <w:t>présentant</w:t>
      </w:r>
      <w:r w:rsidR="005B221D">
        <w:rPr>
          <w:rFonts w:eastAsia="Times New Roman"/>
          <w:sz w:val="22"/>
          <w:lang w:val="fr-CH" w:eastAsia="de-DE"/>
        </w:rPr>
        <w:t xml:space="preserve"> des écarts de plus de 30 % au niveau des coûts globaux</w:t>
      </w:r>
      <w:r w:rsidR="00311CE6">
        <w:rPr>
          <w:rFonts w:eastAsia="Times New Roman"/>
          <w:sz w:val="22"/>
          <w:lang w:val="fr-CH" w:eastAsia="de-DE"/>
        </w:rPr>
        <w:t>,</w:t>
      </w:r>
      <w:r w:rsidR="005B221D">
        <w:rPr>
          <w:rFonts w:eastAsia="Times New Roman"/>
          <w:sz w:val="22"/>
          <w:lang w:val="fr-CH" w:eastAsia="de-DE"/>
        </w:rPr>
        <w:t xml:space="preserve"> avec commentaire concernant l’état d’avancement de la mise en œuvre de la LHand </w:t>
      </w:r>
      <w:r w:rsidRPr="007E5C2A">
        <w:rPr>
          <w:rFonts w:eastAsia="Times New Roman"/>
          <w:sz w:val="22"/>
          <w:lang w:val="fr-CH" w:eastAsia="de-DE"/>
        </w:rPr>
        <w:t>;</w:t>
      </w:r>
    </w:p>
    <w:p w14:paraId="13D3A9B4" w14:textId="0CB58B3B" w:rsidR="007E5C2A" w:rsidRDefault="007E5C2A" w:rsidP="007E5C2A">
      <w:pPr>
        <w:tabs>
          <w:tab w:val="left" w:pos="1281"/>
        </w:tabs>
        <w:spacing w:line="240" w:lineRule="auto"/>
        <w:ind w:left="1281" w:hanging="357"/>
        <w:jc w:val="both"/>
        <w:rPr>
          <w:rFonts w:eastAsia="Times New Roman"/>
          <w:sz w:val="22"/>
          <w:lang w:val="fr-CH" w:eastAsia="de-DE"/>
        </w:rPr>
      </w:pPr>
      <w:r w:rsidRPr="007E5C2A">
        <w:rPr>
          <w:rFonts w:eastAsia="Times New Roman"/>
          <w:sz w:val="22"/>
          <w:lang w:val="fr-CH" w:eastAsia="de-DE"/>
        </w:rPr>
        <w:t>ii.</w:t>
      </w:r>
      <w:r w:rsidRPr="007E5C2A">
        <w:rPr>
          <w:rFonts w:eastAsia="Times New Roman"/>
          <w:sz w:val="22"/>
          <w:lang w:val="fr-CH" w:eastAsia="de-DE"/>
        </w:rPr>
        <w:tab/>
        <w:t>la réalisation des objectifs et les raisons expliquant un écart par rapport à la valeur-cible</w:t>
      </w:r>
      <w:r w:rsidR="005B221D">
        <w:rPr>
          <w:rFonts w:eastAsia="Times New Roman"/>
          <w:sz w:val="22"/>
          <w:lang w:val="fr-CH" w:eastAsia="de-DE"/>
        </w:rPr>
        <w:t xml:space="preserve"> au niveau des </w:t>
      </w:r>
      <w:r w:rsidR="00203053">
        <w:rPr>
          <w:rFonts w:eastAsia="Times New Roman"/>
          <w:sz w:val="22"/>
          <w:lang w:val="fr-CH" w:eastAsia="de-DE"/>
        </w:rPr>
        <w:t>chiffres-clé</w:t>
      </w:r>
      <w:r w:rsidR="005B221D">
        <w:rPr>
          <w:rFonts w:eastAsia="Times New Roman"/>
          <w:sz w:val="22"/>
          <w:lang w:val="fr-CH" w:eastAsia="de-DE"/>
        </w:rPr>
        <w:t xml:space="preserve"> CP</w:t>
      </w:r>
      <w:r w:rsidRPr="007E5C2A">
        <w:rPr>
          <w:rFonts w:eastAsia="Times New Roman"/>
          <w:sz w:val="22"/>
          <w:lang w:val="fr-CH" w:eastAsia="de-DE"/>
        </w:rPr>
        <w:t>, les mesures et correctifs appliqués ou devant l’être</w:t>
      </w:r>
      <w:r w:rsidR="005B221D">
        <w:rPr>
          <w:rFonts w:eastAsia="Times New Roman"/>
          <w:sz w:val="22"/>
          <w:lang w:val="fr-CH" w:eastAsia="de-DE"/>
        </w:rPr>
        <w:t> </w:t>
      </w:r>
      <w:r w:rsidRPr="007E5C2A">
        <w:rPr>
          <w:rFonts w:eastAsia="Times New Roman"/>
          <w:sz w:val="22"/>
          <w:lang w:val="fr-CH" w:eastAsia="de-DE"/>
        </w:rPr>
        <w:t xml:space="preserve">; </w:t>
      </w:r>
      <w:r w:rsidR="005B221D">
        <w:rPr>
          <w:rFonts w:eastAsia="Times New Roman"/>
          <w:sz w:val="22"/>
          <w:lang w:val="fr-CH" w:eastAsia="de-DE"/>
        </w:rPr>
        <w:t>les principales raisons expliquant les écarts entre les années au niveau des données statistiques ;</w:t>
      </w:r>
    </w:p>
    <w:p w14:paraId="1D7F49CE" w14:textId="0D13398E" w:rsidR="005B221D" w:rsidRDefault="005B221D" w:rsidP="007E5C2A">
      <w:pPr>
        <w:tabs>
          <w:tab w:val="left" w:pos="1281"/>
        </w:tabs>
        <w:spacing w:line="240" w:lineRule="auto"/>
        <w:ind w:left="1281" w:hanging="357"/>
        <w:jc w:val="both"/>
        <w:rPr>
          <w:rFonts w:eastAsia="Times New Roman"/>
          <w:sz w:val="22"/>
          <w:lang w:val="fr-CH" w:eastAsia="de-DE"/>
        </w:rPr>
      </w:pPr>
      <w:r>
        <w:rPr>
          <w:rFonts w:eastAsia="Times New Roman"/>
          <w:sz w:val="22"/>
          <w:lang w:val="fr-CH" w:eastAsia="de-DE"/>
        </w:rPr>
        <w:t>iii.</w:t>
      </w:r>
      <w:r>
        <w:rPr>
          <w:rFonts w:eastAsia="Times New Roman"/>
          <w:sz w:val="22"/>
          <w:lang w:val="fr-CH" w:eastAsia="de-DE"/>
        </w:rPr>
        <w:tab/>
        <w:t>le t</w:t>
      </w:r>
      <w:r w:rsidRPr="005B221D">
        <w:rPr>
          <w:rFonts w:eastAsia="Times New Roman"/>
          <w:sz w:val="22"/>
          <w:lang w:val="fr-CH" w:eastAsia="de-DE"/>
        </w:rPr>
        <w:t xml:space="preserve">ransfert du solde de financement vers le compte </w:t>
      </w:r>
      <w:r>
        <w:rPr>
          <w:rFonts w:eastAsia="Times New Roman"/>
          <w:sz w:val="22"/>
          <w:lang w:val="fr-CH" w:eastAsia="de-DE"/>
        </w:rPr>
        <w:t xml:space="preserve">bancaire </w:t>
      </w:r>
      <w:r w:rsidRPr="005B221D">
        <w:rPr>
          <w:rFonts w:eastAsia="Times New Roman"/>
          <w:sz w:val="22"/>
          <w:lang w:val="fr-CH" w:eastAsia="de-DE"/>
        </w:rPr>
        <w:t>d</w:t>
      </w:r>
      <w:r>
        <w:rPr>
          <w:rFonts w:eastAsia="Times New Roman"/>
          <w:sz w:val="22"/>
          <w:lang w:val="fr-CH" w:eastAsia="de-DE"/>
        </w:rPr>
        <w:t>’</w:t>
      </w:r>
      <w:r w:rsidRPr="005B221D">
        <w:rPr>
          <w:rFonts w:eastAsia="Times New Roman"/>
          <w:sz w:val="22"/>
          <w:lang w:val="fr-CH" w:eastAsia="de-DE"/>
        </w:rPr>
        <w:t>investissement</w:t>
      </w:r>
      <w:r>
        <w:rPr>
          <w:rFonts w:eastAsia="Times New Roman"/>
          <w:sz w:val="22"/>
          <w:lang w:val="fr-CH" w:eastAsia="de-DE"/>
        </w:rPr>
        <w:t> ;</w:t>
      </w:r>
    </w:p>
    <w:p w14:paraId="3593C0C6" w14:textId="2BAB05CA" w:rsidR="005B221D" w:rsidRPr="007E5C2A" w:rsidRDefault="005B221D" w:rsidP="007E5C2A">
      <w:pPr>
        <w:tabs>
          <w:tab w:val="left" w:pos="1281"/>
        </w:tabs>
        <w:spacing w:line="240" w:lineRule="auto"/>
        <w:ind w:left="1281" w:hanging="357"/>
        <w:jc w:val="both"/>
        <w:rPr>
          <w:rFonts w:eastAsia="Times New Roman"/>
          <w:sz w:val="22"/>
          <w:lang w:val="fr-CH" w:eastAsia="de-DE"/>
        </w:rPr>
      </w:pPr>
      <w:r>
        <w:rPr>
          <w:rFonts w:eastAsia="Times New Roman"/>
          <w:sz w:val="22"/>
          <w:lang w:val="fr-CH" w:eastAsia="de-DE"/>
        </w:rPr>
        <w:t>iv.</w:t>
      </w:r>
      <w:r>
        <w:rPr>
          <w:rFonts w:eastAsia="Times New Roman"/>
          <w:sz w:val="22"/>
          <w:lang w:val="fr-CH" w:eastAsia="de-DE"/>
        </w:rPr>
        <w:tab/>
        <w:t>le récapitulatif des cessions</w:t>
      </w:r>
      <w:r w:rsidRPr="005B221D">
        <w:rPr>
          <w:rFonts w:eastAsia="Times New Roman"/>
          <w:sz w:val="22"/>
          <w:lang w:val="fr-CH" w:eastAsia="de-DE"/>
        </w:rPr>
        <w:t xml:space="preserve"> (terrains et installations) ou une </w:t>
      </w:r>
      <w:r w:rsidR="00203053">
        <w:rPr>
          <w:rFonts w:eastAsia="Times New Roman"/>
          <w:sz w:val="22"/>
          <w:lang w:val="fr-CH" w:eastAsia="de-DE"/>
        </w:rPr>
        <w:t>déclaration</w:t>
      </w:r>
      <w:r w:rsidRPr="005B221D">
        <w:rPr>
          <w:rFonts w:eastAsia="Times New Roman"/>
          <w:sz w:val="22"/>
          <w:lang w:val="fr-CH" w:eastAsia="de-DE"/>
        </w:rPr>
        <w:t xml:space="preserve"> négative</w:t>
      </w:r>
      <w:r>
        <w:rPr>
          <w:rFonts w:eastAsia="Times New Roman"/>
          <w:sz w:val="22"/>
          <w:lang w:val="fr-CH" w:eastAsia="de-DE"/>
        </w:rPr>
        <w:t> ;</w:t>
      </w:r>
    </w:p>
    <w:p w14:paraId="3A220E6C" w14:textId="3FB3107C" w:rsidR="007E5C2A" w:rsidRPr="007E5C2A" w:rsidRDefault="005B221D" w:rsidP="007E5C2A">
      <w:pPr>
        <w:tabs>
          <w:tab w:val="left" w:pos="1281"/>
        </w:tabs>
        <w:spacing w:line="240" w:lineRule="auto"/>
        <w:ind w:left="1281" w:hanging="357"/>
        <w:jc w:val="both"/>
        <w:rPr>
          <w:rFonts w:eastAsia="Times New Roman"/>
          <w:sz w:val="22"/>
          <w:lang w:val="fr-CH" w:eastAsia="de-DE"/>
        </w:rPr>
      </w:pPr>
      <w:r>
        <w:rPr>
          <w:rFonts w:eastAsia="Times New Roman"/>
          <w:sz w:val="22"/>
          <w:lang w:val="fr-CH" w:eastAsia="de-DE"/>
        </w:rPr>
        <w:t>v</w:t>
      </w:r>
      <w:r w:rsidR="007E5C2A" w:rsidRPr="007E5C2A">
        <w:rPr>
          <w:rFonts w:eastAsia="Times New Roman"/>
          <w:sz w:val="22"/>
          <w:lang w:val="fr-CH" w:eastAsia="de-DE"/>
        </w:rPr>
        <w:t>.</w:t>
      </w:r>
      <w:r w:rsidR="007E5C2A" w:rsidRPr="007E5C2A">
        <w:rPr>
          <w:rFonts w:eastAsia="Times New Roman"/>
          <w:sz w:val="22"/>
          <w:lang w:val="fr-CH" w:eastAsia="de-DE"/>
        </w:rPr>
        <w:tab/>
        <w:t>[uniquement entreprises concernées] la réalisation des tâches systémiques</w:t>
      </w:r>
      <w:r>
        <w:rPr>
          <w:rFonts w:eastAsia="Times New Roman"/>
          <w:sz w:val="22"/>
          <w:lang w:val="fr-CH" w:eastAsia="de-DE"/>
        </w:rPr>
        <w:t> </w:t>
      </w:r>
      <w:r w:rsidR="007E5C2A" w:rsidRPr="007E5C2A">
        <w:rPr>
          <w:rFonts w:eastAsia="Times New Roman"/>
          <w:sz w:val="22"/>
          <w:lang w:val="fr-CH" w:eastAsia="de-DE"/>
        </w:rPr>
        <w:t>;</w:t>
      </w:r>
    </w:p>
    <w:p w14:paraId="47900945" w14:textId="26A2EB2C" w:rsidR="007E5C2A" w:rsidRPr="007E5C2A" w:rsidRDefault="005B221D" w:rsidP="007E5C2A">
      <w:pPr>
        <w:tabs>
          <w:tab w:val="left" w:pos="1281"/>
        </w:tabs>
        <w:spacing w:line="240" w:lineRule="auto"/>
        <w:ind w:left="1281" w:hanging="357"/>
        <w:jc w:val="both"/>
        <w:rPr>
          <w:rFonts w:eastAsia="Times New Roman"/>
          <w:sz w:val="22"/>
          <w:lang w:val="fr-CH" w:eastAsia="de-DE"/>
        </w:rPr>
      </w:pPr>
      <w:r>
        <w:rPr>
          <w:rFonts w:eastAsia="Times New Roman"/>
          <w:sz w:val="22"/>
          <w:lang w:val="fr-CH" w:eastAsia="de-DE"/>
        </w:rPr>
        <w:t>vi</w:t>
      </w:r>
      <w:r w:rsidR="007E5C2A" w:rsidRPr="007E5C2A">
        <w:rPr>
          <w:rFonts w:eastAsia="Times New Roman"/>
          <w:sz w:val="22"/>
          <w:lang w:val="fr-CH" w:eastAsia="de-DE"/>
        </w:rPr>
        <w:t>.</w:t>
      </w:r>
      <w:r w:rsidR="007E5C2A" w:rsidRPr="007E5C2A">
        <w:rPr>
          <w:rFonts w:eastAsia="Times New Roman"/>
          <w:sz w:val="22"/>
          <w:lang w:val="fr-CH" w:eastAsia="de-DE"/>
        </w:rPr>
        <w:tab/>
        <w:t xml:space="preserve">[uniquement </w:t>
      </w:r>
      <w:r>
        <w:rPr>
          <w:rFonts w:eastAsia="Times New Roman"/>
          <w:sz w:val="22"/>
          <w:lang w:val="fr-CH" w:eastAsia="de-DE"/>
        </w:rPr>
        <w:t>entreprises concernées</w:t>
      </w:r>
      <w:r w:rsidR="007E5C2A" w:rsidRPr="007E5C2A">
        <w:rPr>
          <w:rFonts w:eastAsia="Times New Roman"/>
          <w:sz w:val="22"/>
          <w:lang w:val="fr-CH" w:eastAsia="de-DE"/>
        </w:rPr>
        <w:t xml:space="preserve">] </w:t>
      </w:r>
      <w:r>
        <w:rPr>
          <w:rFonts w:eastAsia="Times New Roman"/>
          <w:sz w:val="22"/>
          <w:lang w:val="fr-CH" w:eastAsia="de-DE"/>
        </w:rPr>
        <w:t>la mise en œuvre de la stratégie ERTMS </w:t>
      </w:r>
      <w:r w:rsidR="007E5C2A" w:rsidRPr="007E5C2A">
        <w:rPr>
          <w:rFonts w:eastAsia="Times New Roman"/>
          <w:sz w:val="22"/>
          <w:lang w:val="fr-CH" w:eastAsia="de-DE"/>
        </w:rPr>
        <w:t>;</w:t>
      </w:r>
    </w:p>
    <w:p w14:paraId="21109B9C" w14:textId="00903B39" w:rsidR="007E5C2A" w:rsidRPr="007E5C2A" w:rsidRDefault="005B221D" w:rsidP="005B221D">
      <w:pPr>
        <w:tabs>
          <w:tab w:val="left" w:pos="1281"/>
        </w:tabs>
        <w:spacing w:line="240" w:lineRule="auto"/>
        <w:ind w:left="567" w:hanging="425"/>
        <w:jc w:val="both"/>
        <w:rPr>
          <w:rFonts w:eastAsia="Times New Roman"/>
          <w:sz w:val="22"/>
          <w:lang w:val="fr-CH" w:eastAsia="de-DE"/>
        </w:rPr>
      </w:pPr>
      <w:r>
        <w:rPr>
          <w:rFonts w:eastAsia="Times New Roman"/>
          <w:sz w:val="22"/>
          <w:lang w:val="fr-CH" w:eastAsia="de-DE"/>
        </w:rPr>
        <w:t>d</w:t>
      </w:r>
      <w:r w:rsidR="007E5C2A" w:rsidRPr="007E5C2A">
        <w:rPr>
          <w:rFonts w:eastAsia="Times New Roman"/>
          <w:sz w:val="22"/>
          <w:lang w:val="fr-CH" w:eastAsia="de-DE"/>
        </w:rPr>
        <w:t>.</w:t>
      </w:r>
      <w:r w:rsidR="007E5C2A" w:rsidRPr="007E5C2A">
        <w:rPr>
          <w:rFonts w:eastAsia="Times New Roman"/>
          <w:sz w:val="22"/>
          <w:lang w:val="fr-CH" w:eastAsia="de-DE"/>
        </w:rPr>
        <w:tab/>
        <w:t xml:space="preserve">[Autres chemins de fer] </w:t>
      </w:r>
      <w:r w:rsidR="00B36080">
        <w:rPr>
          <w:rFonts w:eastAsia="Times New Roman"/>
          <w:sz w:val="22"/>
          <w:lang w:val="fr-CH" w:eastAsia="de-DE"/>
        </w:rPr>
        <w:t>tous les deux ans</w:t>
      </w:r>
      <w:r w:rsidR="00203053">
        <w:rPr>
          <w:rFonts w:eastAsia="Times New Roman"/>
          <w:sz w:val="22"/>
          <w:lang w:val="fr-CH" w:eastAsia="de-DE"/>
        </w:rPr>
        <w:t>,</w:t>
      </w:r>
      <w:r w:rsidR="00B36080">
        <w:rPr>
          <w:rFonts w:eastAsia="Times New Roman"/>
          <w:sz w:val="22"/>
          <w:lang w:val="fr-CH" w:eastAsia="de-DE"/>
        </w:rPr>
        <w:t xml:space="preserve"> un rapport sur les </w:t>
      </w:r>
      <w:r w:rsidR="007E5C2A" w:rsidRPr="007E5C2A">
        <w:rPr>
          <w:rFonts w:eastAsia="Times New Roman"/>
          <w:sz w:val="22"/>
          <w:lang w:val="fr-CH" w:eastAsia="de-DE"/>
        </w:rPr>
        <w:t>mesures prises pour la conservation et l’aide à la</w:t>
      </w:r>
      <w:r w:rsidR="00B36080">
        <w:rPr>
          <w:rFonts w:eastAsia="Times New Roman"/>
          <w:sz w:val="22"/>
          <w:lang w:val="fr-CH" w:eastAsia="de-DE"/>
        </w:rPr>
        <w:t xml:space="preserve"> biodiversité selon le guide publié « </w:t>
      </w:r>
      <w:r w:rsidR="00C7307B" w:rsidRPr="00C7307B">
        <w:rPr>
          <w:rFonts w:eastAsia="Times New Roman"/>
          <w:sz w:val="22"/>
          <w:lang w:val="fr-CH" w:eastAsia="de-DE"/>
        </w:rPr>
        <w:t>Guide de rapport sur la biodiversité selon les conventions de prestations 2025 - 2028</w:t>
      </w:r>
      <w:r w:rsidR="00B36080">
        <w:rPr>
          <w:rFonts w:eastAsia="Times New Roman"/>
          <w:sz w:val="22"/>
          <w:lang w:val="fr-CH" w:eastAsia="de-DE"/>
        </w:rPr>
        <w:t> » </w:t>
      </w:r>
      <w:r w:rsidR="00B36080" w:rsidRPr="00B36080">
        <w:rPr>
          <w:rFonts w:eastAsia="Times New Roman"/>
          <w:sz w:val="22"/>
          <w:lang w:val="fr-CH" w:eastAsia="de-DE"/>
        </w:rPr>
        <w:t>;</w:t>
      </w:r>
      <w:r w:rsidR="007E5C2A" w:rsidRPr="007E5C2A">
        <w:rPr>
          <w:rFonts w:eastAsia="Times New Roman"/>
          <w:sz w:val="22"/>
          <w:lang w:val="fr-CH" w:eastAsia="de-DE"/>
        </w:rPr>
        <w:t xml:space="preserve"> </w:t>
      </w:r>
    </w:p>
    <w:p w14:paraId="348F4193" w14:textId="334CF2A0" w:rsidR="007E5C2A" w:rsidRPr="007E5C2A" w:rsidRDefault="00B36080" w:rsidP="007E5C2A">
      <w:pPr>
        <w:tabs>
          <w:tab w:val="left" w:pos="567"/>
        </w:tabs>
        <w:spacing w:before="80" w:line="240" w:lineRule="auto"/>
        <w:ind w:left="567" w:hanging="357"/>
        <w:jc w:val="both"/>
        <w:rPr>
          <w:rFonts w:eastAsia="Times New Roman"/>
          <w:sz w:val="22"/>
          <w:lang w:val="fr-CH" w:eastAsia="de-DE"/>
        </w:rPr>
      </w:pPr>
      <w:r>
        <w:rPr>
          <w:rFonts w:eastAsia="Times New Roman"/>
          <w:sz w:val="22"/>
          <w:lang w:val="fr-CH" w:eastAsia="de-DE"/>
        </w:rPr>
        <w:t>e</w:t>
      </w:r>
      <w:r w:rsidR="007E5C2A" w:rsidRPr="007E5C2A">
        <w:rPr>
          <w:rFonts w:eastAsia="Times New Roman"/>
          <w:sz w:val="22"/>
          <w:lang w:val="fr-CH" w:eastAsia="de-DE"/>
        </w:rPr>
        <w:t>.</w:t>
      </w:r>
      <w:r w:rsidR="007E5C2A" w:rsidRPr="007E5C2A">
        <w:rPr>
          <w:rFonts w:eastAsia="Times New Roman"/>
          <w:sz w:val="22"/>
          <w:lang w:val="fr-CH" w:eastAsia="de-DE"/>
        </w:rPr>
        <w:tab/>
      </w:r>
      <w:r w:rsidR="00203053">
        <w:rPr>
          <w:rFonts w:eastAsia="Times New Roman"/>
          <w:sz w:val="22"/>
          <w:lang w:val="fr-CH" w:eastAsia="de-DE"/>
        </w:rPr>
        <w:t xml:space="preserve">tous les quatre ans </w:t>
      </w:r>
      <w:r w:rsidR="007E5C2A" w:rsidRPr="007E5C2A">
        <w:rPr>
          <w:rFonts w:eastAsia="Times New Roman"/>
          <w:sz w:val="22"/>
          <w:lang w:val="fr-CH" w:eastAsia="de-DE"/>
        </w:rPr>
        <w:t xml:space="preserve">(vraisemblablement </w:t>
      </w:r>
      <w:r>
        <w:rPr>
          <w:rFonts w:eastAsia="Times New Roman"/>
          <w:sz w:val="22"/>
          <w:lang w:val="fr-CH" w:eastAsia="de-DE"/>
        </w:rPr>
        <w:t>pour la période d’horaire 2026</w:t>
      </w:r>
      <w:r w:rsidR="00203053">
        <w:rPr>
          <w:rFonts w:eastAsia="Times New Roman"/>
          <w:sz w:val="22"/>
          <w:lang w:val="fr-CH" w:eastAsia="de-DE"/>
        </w:rPr>
        <w:t>, des informations</w:t>
      </w:r>
      <w:r w:rsidR="007E5C2A" w:rsidRPr="007E5C2A">
        <w:rPr>
          <w:rFonts w:eastAsia="Times New Roman"/>
          <w:sz w:val="22"/>
          <w:lang w:val="fr-CH" w:eastAsia="de-DE"/>
        </w:rPr>
        <w:t xml:space="preserve"> pour le rapport du Conseil fédéral au Parlement portant sur la sollicitation et le taux d’utilisation de l’infrastructure conformément à l’art.</w:t>
      </w:r>
      <w:r>
        <w:rPr>
          <w:rFonts w:eastAsia="Times New Roman"/>
          <w:sz w:val="22"/>
          <w:lang w:val="fr-CH" w:eastAsia="de-DE"/>
        </w:rPr>
        <w:t> </w:t>
      </w:r>
      <w:r w:rsidR="007E5C2A" w:rsidRPr="007E5C2A">
        <w:rPr>
          <w:rFonts w:eastAsia="Times New Roman"/>
          <w:sz w:val="22"/>
          <w:lang w:val="fr-CH" w:eastAsia="de-DE"/>
        </w:rPr>
        <w:t>5, al.</w:t>
      </w:r>
      <w:r>
        <w:rPr>
          <w:rFonts w:eastAsia="Times New Roman"/>
          <w:sz w:val="22"/>
          <w:lang w:val="fr-CH" w:eastAsia="de-DE"/>
        </w:rPr>
        <w:t> </w:t>
      </w:r>
      <w:r w:rsidR="007E5C2A" w:rsidRPr="007E5C2A">
        <w:rPr>
          <w:rFonts w:eastAsia="Times New Roman"/>
          <w:sz w:val="22"/>
          <w:lang w:val="fr-CH" w:eastAsia="de-DE"/>
        </w:rPr>
        <w:t>2, LFIF.</w:t>
      </w:r>
    </w:p>
    <w:p w14:paraId="76D37399" w14:textId="77777777" w:rsidR="007E5C2A" w:rsidRPr="007E5C2A" w:rsidRDefault="007E5C2A" w:rsidP="007E5C2A">
      <w:pPr>
        <w:spacing w:before="80" w:line="240" w:lineRule="auto"/>
        <w:jc w:val="both"/>
        <w:rPr>
          <w:rFonts w:eastAsia="Times New Roman"/>
          <w:sz w:val="22"/>
          <w:lang w:val="fr-CH" w:eastAsia="de-DE"/>
        </w:rPr>
      </w:pPr>
      <w:r w:rsidRPr="007E5C2A">
        <w:rPr>
          <w:rFonts w:eastAsia="Times New Roman"/>
          <w:sz w:val="22"/>
          <w:vertAlign w:val="superscript"/>
          <w:lang w:val="fr-CH" w:eastAsia="de-DE"/>
        </w:rPr>
        <w:t>2 </w:t>
      </w:r>
      <w:r w:rsidRPr="007E5C2A">
        <w:rPr>
          <w:rFonts w:eastAsia="Times New Roman"/>
          <w:sz w:val="22"/>
          <w:lang w:val="fr-CH" w:eastAsia="de-DE"/>
        </w:rPr>
        <w:t>L’entreprise met à la disposition de l’OFT tous les documents et informations de fond nécessaires à un pilotage efficace du financement de l’infrastructure, notamment les grandes lignes de la stratégie des installations.</w:t>
      </w:r>
    </w:p>
    <w:p w14:paraId="2906B490" w14:textId="664AFBE6" w:rsidR="007E5C2A" w:rsidRPr="007E5C2A" w:rsidRDefault="007E5C2A" w:rsidP="007E5C2A">
      <w:pPr>
        <w:spacing w:before="80" w:line="240" w:lineRule="auto"/>
        <w:jc w:val="both"/>
        <w:rPr>
          <w:rFonts w:eastAsia="Times New Roman"/>
          <w:sz w:val="22"/>
          <w:lang w:val="fr-CH" w:eastAsia="de-DE"/>
        </w:rPr>
      </w:pPr>
      <w:r w:rsidRPr="007E5C2A">
        <w:rPr>
          <w:rFonts w:eastAsia="Times New Roman"/>
          <w:sz w:val="22"/>
          <w:vertAlign w:val="superscript"/>
          <w:lang w:val="fr-CH" w:eastAsia="de-DE"/>
        </w:rPr>
        <w:t>3 </w:t>
      </w:r>
      <w:r w:rsidRPr="007E5C2A">
        <w:rPr>
          <w:rFonts w:eastAsia="Times New Roman"/>
          <w:sz w:val="22"/>
          <w:lang w:val="fr-CH" w:eastAsia="de-DE"/>
        </w:rPr>
        <w:t>Les variations significatives par rapport à la réalisation des objectifs ou à l’avancement des projets doivent être documentées avec indication de leurs causes et des mesures de compensation</w:t>
      </w:r>
      <w:r w:rsidR="008343C1">
        <w:rPr>
          <w:rFonts w:eastAsia="Times New Roman"/>
          <w:sz w:val="22"/>
          <w:lang w:val="fr-CH" w:eastAsia="de-DE"/>
        </w:rPr>
        <w:t>,</w:t>
      </w:r>
      <w:r w:rsidRPr="007E5C2A">
        <w:rPr>
          <w:rFonts w:eastAsia="Times New Roman"/>
          <w:sz w:val="22"/>
          <w:lang w:val="fr-CH" w:eastAsia="de-DE"/>
        </w:rPr>
        <w:t xml:space="preserve"> </w:t>
      </w:r>
      <w:r w:rsidR="008343C1">
        <w:rPr>
          <w:rFonts w:eastAsia="Times New Roman"/>
          <w:sz w:val="22"/>
          <w:lang w:val="fr-CH" w:eastAsia="de-DE"/>
        </w:rPr>
        <w:t>puis</w:t>
      </w:r>
      <w:r w:rsidRPr="007E5C2A">
        <w:rPr>
          <w:rFonts w:eastAsia="Times New Roman"/>
          <w:sz w:val="22"/>
          <w:lang w:val="fr-CH" w:eastAsia="de-DE"/>
        </w:rPr>
        <w:t xml:space="preserve"> signalées au plus vite à l’OFT dans la WDI. L’indication d’une évolution des coûts négative (surcoûts) ne signifie pas que cette évolution sera acceptée par l’OFT. Si celui-ci constate que les crédits ne peuvent pas être respectés et s’il considère les mesures prises comme insuffisantes, il prend contact avec l’entreprise et engage les mesures nécessaires.</w:t>
      </w:r>
    </w:p>
    <w:p w14:paraId="0149B515" w14:textId="77777777" w:rsidR="007E5C2A" w:rsidRPr="007E5C2A" w:rsidRDefault="007E5C2A" w:rsidP="007E5C2A">
      <w:pPr>
        <w:spacing w:before="80" w:line="240" w:lineRule="auto"/>
        <w:jc w:val="both"/>
        <w:rPr>
          <w:rFonts w:eastAsia="Times New Roman"/>
          <w:sz w:val="22"/>
          <w:lang w:val="fr-CH" w:eastAsia="de-DE"/>
        </w:rPr>
      </w:pPr>
      <w:r w:rsidRPr="007E5C2A">
        <w:rPr>
          <w:rFonts w:eastAsia="Times New Roman"/>
          <w:sz w:val="22"/>
          <w:vertAlign w:val="superscript"/>
          <w:lang w:val="fr-CH" w:eastAsia="de-DE"/>
        </w:rPr>
        <w:t>4 </w:t>
      </w:r>
      <w:r w:rsidRPr="007E5C2A">
        <w:rPr>
          <w:rFonts w:eastAsia="Times New Roman"/>
          <w:sz w:val="22"/>
          <w:lang w:val="fr-CH" w:eastAsia="de-DE"/>
        </w:rPr>
        <w:t>L’OFT informe l’entreprise du résultat de l’examen des rapports annuels.</w:t>
      </w:r>
    </w:p>
    <w:p w14:paraId="48DA38B7" w14:textId="262699D5" w:rsidR="00F37BCB" w:rsidRPr="007E5C2A" w:rsidRDefault="00B36080" w:rsidP="007E5C2A">
      <w:pPr>
        <w:autoSpaceDE w:val="0"/>
        <w:autoSpaceDN w:val="0"/>
        <w:adjustRightInd w:val="0"/>
        <w:spacing w:before="80" w:line="240" w:lineRule="auto"/>
        <w:rPr>
          <w:rFonts w:eastAsia="Times New Roman"/>
          <w:sz w:val="22"/>
          <w:lang w:val="fr-CH" w:eastAsia="de-DE"/>
        </w:rPr>
      </w:pPr>
      <w:r w:rsidRPr="00B36080">
        <w:rPr>
          <w:rFonts w:eastAsia="Times New Roman"/>
          <w:sz w:val="22"/>
          <w:vertAlign w:val="superscript"/>
          <w:lang w:val="fr-CH" w:eastAsia="de-DE"/>
        </w:rPr>
        <w:t>5</w:t>
      </w:r>
      <w:r>
        <w:rPr>
          <w:rFonts w:eastAsia="Times New Roman"/>
          <w:sz w:val="22"/>
          <w:vertAlign w:val="superscript"/>
          <w:lang w:val="fr-CH" w:eastAsia="de-DE"/>
        </w:rPr>
        <w:t>°</w:t>
      </w:r>
      <w:r w:rsidRPr="00B36080">
        <w:rPr>
          <w:rFonts w:eastAsia="Times New Roman"/>
          <w:sz w:val="22"/>
          <w:lang w:val="fr-CH" w:eastAsia="de-DE"/>
        </w:rPr>
        <w:t>L</w:t>
      </w:r>
      <w:r>
        <w:rPr>
          <w:rFonts w:eastAsia="Times New Roman"/>
          <w:sz w:val="22"/>
          <w:lang w:val="fr-CH" w:eastAsia="de-DE"/>
        </w:rPr>
        <w:t>’</w:t>
      </w:r>
      <w:r w:rsidRPr="00B36080">
        <w:rPr>
          <w:rFonts w:eastAsia="Times New Roman"/>
          <w:sz w:val="22"/>
          <w:lang w:val="fr-CH" w:eastAsia="de-DE"/>
        </w:rPr>
        <w:t>entreprise publie, au plus tard le 30</w:t>
      </w:r>
      <w:r>
        <w:rPr>
          <w:rFonts w:eastAsia="Times New Roman"/>
          <w:sz w:val="22"/>
          <w:lang w:val="fr-CH" w:eastAsia="de-DE"/>
        </w:rPr>
        <w:t> </w:t>
      </w:r>
      <w:r w:rsidRPr="00B36080">
        <w:rPr>
          <w:rFonts w:eastAsia="Times New Roman"/>
          <w:sz w:val="22"/>
          <w:lang w:val="fr-CH" w:eastAsia="de-DE"/>
        </w:rPr>
        <w:t>avril de l</w:t>
      </w:r>
      <w:r>
        <w:rPr>
          <w:rFonts w:eastAsia="Times New Roman"/>
          <w:sz w:val="22"/>
          <w:lang w:val="fr-CH" w:eastAsia="de-DE"/>
        </w:rPr>
        <w:t>’</w:t>
      </w:r>
      <w:r w:rsidRPr="00B36080">
        <w:rPr>
          <w:rFonts w:eastAsia="Times New Roman"/>
          <w:sz w:val="22"/>
          <w:lang w:val="fr-CH" w:eastAsia="de-DE"/>
        </w:rPr>
        <w:t>année suivante, le rapport sur l</w:t>
      </w:r>
      <w:r>
        <w:rPr>
          <w:rFonts w:eastAsia="Times New Roman"/>
          <w:sz w:val="22"/>
          <w:lang w:val="fr-CH" w:eastAsia="de-DE"/>
        </w:rPr>
        <w:t>’</w:t>
      </w:r>
      <w:r w:rsidRPr="00B36080">
        <w:rPr>
          <w:rFonts w:eastAsia="Times New Roman"/>
          <w:sz w:val="22"/>
          <w:lang w:val="fr-CH" w:eastAsia="de-DE"/>
        </w:rPr>
        <w:t>état du réseau au 31</w:t>
      </w:r>
      <w:r>
        <w:rPr>
          <w:rFonts w:eastAsia="Times New Roman"/>
          <w:sz w:val="22"/>
          <w:lang w:val="fr-CH" w:eastAsia="de-DE"/>
        </w:rPr>
        <w:t> </w:t>
      </w:r>
      <w:r w:rsidRPr="00B36080">
        <w:rPr>
          <w:rFonts w:eastAsia="Times New Roman"/>
          <w:sz w:val="22"/>
          <w:lang w:val="fr-CH" w:eastAsia="de-DE"/>
        </w:rPr>
        <w:t xml:space="preserve">décembre sur son site </w:t>
      </w:r>
      <w:r>
        <w:rPr>
          <w:rFonts w:eastAsia="Times New Roman"/>
          <w:sz w:val="22"/>
          <w:lang w:val="fr-CH" w:eastAsia="de-DE"/>
        </w:rPr>
        <w:t>Web</w:t>
      </w:r>
      <w:r w:rsidRPr="00B36080">
        <w:rPr>
          <w:rFonts w:eastAsia="Times New Roman"/>
          <w:sz w:val="22"/>
          <w:lang w:val="fr-CH" w:eastAsia="de-DE"/>
        </w:rPr>
        <w:t xml:space="preserve"> conformément </w:t>
      </w:r>
      <w:r w:rsidR="00203053">
        <w:rPr>
          <w:rFonts w:eastAsia="Times New Roman"/>
          <w:sz w:val="22"/>
          <w:lang w:val="fr-CH" w:eastAsia="de-DE"/>
        </w:rPr>
        <w:t>à la</w:t>
      </w:r>
      <w:r w:rsidR="00203053" w:rsidRPr="00B36080">
        <w:rPr>
          <w:rFonts w:eastAsia="Times New Roman"/>
          <w:sz w:val="22"/>
          <w:lang w:val="fr-CH" w:eastAsia="de-DE"/>
        </w:rPr>
        <w:t xml:space="preserve"> </w:t>
      </w:r>
      <w:r w:rsidRPr="00B36080">
        <w:rPr>
          <w:rFonts w:eastAsia="Times New Roman"/>
          <w:sz w:val="22"/>
          <w:lang w:val="fr-CH" w:eastAsia="de-DE"/>
        </w:rPr>
        <w:t>RTE 29900 en vigueur.</w:t>
      </w:r>
    </w:p>
    <w:p w14:paraId="27370975" w14:textId="3A44759F" w:rsidR="00243EBA" w:rsidRPr="00B36080" w:rsidRDefault="00243EBA" w:rsidP="00617E6D">
      <w:pPr>
        <w:pStyle w:val="TitelArtikelKomm"/>
        <w:spacing w:line="360" w:lineRule="auto"/>
        <w:rPr>
          <w:rFonts w:ascii="Arial" w:hAnsi="Arial" w:cs="Arial"/>
          <w:b/>
          <w:i w:val="0"/>
          <w:sz w:val="22"/>
          <w:lang w:val="fr-CH"/>
        </w:rPr>
      </w:pPr>
      <w:r w:rsidRPr="00B36080">
        <w:rPr>
          <w:rFonts w:ascii="Arial" w:hAnsi="Arial" w:cs="Arial"/>
          <w:b/>
          <w:i w:val="0"/>
          <w:sz w:val="22"/>
          <w:lang w:val="fr-CH"/>
        </w:rPr>
        <w:t>Art.</w:t>
      </w:r>
      <w:r w:rsidR="00B36080" w:rsidRPr="00B36080">
        <w:rPr>
          <w:rFonts w:ascii="Arial" w:hAnsi="Arial" w:cs="Arial"/>
          <w:b/>
          <w:i w:val="0"/>
          <w:sz w:val="22"/>
          <w:lang w:val="fr-CH"/>
        </w:rPr>
        <w:t> </w:t>
      </w:r>
      <w:r w:rsidRPr="00B36080">
        <w:rPr>
          <w:rFonts w:ascii="Arial" w:hAnsi="Arial" w:cs="Arial"/>
          <w:b/>
          <w:i w:val="0"/>
          <w:sz w:val="22"/>
          <w:lang w:val="fr-CH"/>
        </w:rPr>
        <w:t>24</w:t>
      </w:r>
      <w:r w:rsidRPr="00B36080">
        <w:rPr>
          <w:rFonts w:ascii="Arial" w:hAnsi="Arial" w:cs="Arial"/>
          <w:b/>
          <w:sz w:val="22"/>
          <w:lang w:val="fr-CH"/>
        </w:rPr>
        <w:tab/>
      </w:r>
      <w:r w:rsidR="00B36080" w:rsidRPr="00B36080">
        <w:rPr>
          <w:rFonts w:ascii="Arial" w:hAnsi="Arial" w:cs="Arial"/>
          <w:b/>
          <w:i w:val="0"/>
          <w:sz w:val="22"/>
          <w:lang w:val="fr-CH"/>
        </w:rPr>
        <w:t>Obligation d’annoncer</w:t>
      </w:r>
    </w:p>
    <w:p w14:paraId="05728913" w14:textId="318B5C31" w:rsidR="00243EBA" w:rsidRPr="003F282E" w:rsidRDefault="00B36080" w:rsidP="00347259">
      <w:pPr>
        <w:pStyle w:val="Absatz"/>
        <w:spacing w:line="240" w:lineRule="auto"/>
        <w:rPr>
          <w:rFonts w:ascii="Arial" w:hAnsi="Arial" w:cs="Arial"/>
          <w:sz w:val="22"/>
          <w:szCs w:val="22"/>
          <w:lang w:val="fr-CH"/>
        </w:rPr>
      </w:pPr>
      <w:r w:rsidRPr="003F282E">
        <w:rPr>
          <w:rFonts w:ascii="Arial" w:hAnsi="Arial" w:cs="Arial"/>
          <w:sz w:val="22"/>
          <w:szCs w:val="22"/>
          <w:lang w:val="fr-CH"/>
        </w:rPr>
        <w:t xml:space="preserve">En cas de soupçons fondés d’actes délictueux, l’OFT doit être immédiatement et pleinement mis au courant. L’obligation d’annoncer s’étend également aux sous-contractants et aux autres entreprises fournissant des prestations (par ex. sociétés </w:t>
      </w:r>
      <w:r w:rsidRPr="003F282E">
        <w:rPr>
          <w:rFonts w:ascii="Arial" w:hAnsi="Arial" w:cs="Arial"/>
          <w:i/>
          <w:iCs/>
          <w:sz w:val="22"/>
          <w:szCs w:val="22"/>
          <w:lang w:val="fr-CH"/>
        </w:rPr>
        <w:t>holding</w:t>
      </w:r>
      <w:r w:rsidRPr="003F282E">
        <w:rPr>
          <w:rFonts w:ascii="Arial" w:hAnsi="Arial" w:cs="Arial"/>
          <w:sz w:val="22"/>
          <w:szCs w:val="22"/>
          <w:lang w:val="fr-CH"/>
        </w:rPr>
        <w:t>).</w:t>
      </w:r>
    </w:p>
    <w:p w14:paraId="160160E4" w14:textId="232464CF" w:rsidR="00243EBA" w:rsidRPr="003F282E" w:rsidRDefault="00243EBA" w:rsidP="00617E6D">
      <w:pPr>
        <w:pStyle w:val="TitelArtikelKomm"/>
        <w:spacing w:line="360" w:lineRule="auto"/>
        <w:rPr>
          <w:rFonts w:ascii="Arial" w:hAnsi="Arial" w:cs="Arial"/>
          <w:b/>
          <w:i w:val="0"/>
          <w:sz w:val="22"/>
          <w:lang w:val="fr-CH"/>
        </w:rPr>
      </w:pPr>
      <w:r w:rsidRPr="003F282E">
        <w:rPr>
          <w:rFonts w:ascii="Arial" w:hAnsi="Arial" w:cs="Arial"/>
          <w:b/>
          <w:i w:val="0"/>
          <w:sz w:val="22"/>
          <w:lang w:val="fr-CH"/>
        </w:rPr>
        <w:t>Art.</w:t>
      </w:r>
      <w:r w:rsidR="003F282E" w:rsidRPr="003F282E">
        <w:rPr>
          <w:rFonts w:ascii="Arial" w:hAnsi="Arial" w:cs="Arial"/>
          <w:b/>
          <w:i w:val="0"/>
          <w:sz w:val="22"/>
          <w:lang w:val="fr-CH"/>
        </w:rPr>
        <w:t> </w:t>
      </w:r>
      <w:r w:rsidRPr="003F282E">
        <w:rPr>
          <w:rFonts w:ascii="Arial" w:hAnsi="Arial" w:cs="Arial"/>
          <w:b/>
          <w:i w:val="0"/>
          <w:sz w:val="22"/>
          <w:lang w:val="fr-CH"/>
        </w:rPr>
        <w:t>25</w:t>
      </w:r>
      <w:r w:rsidRPr="003F282E">
        <w:rPr>
          <w:rFonts w:ascii="Arial" w:hAnsi="Arial" w:cs="Arial"/>
          <w:b/>
          <w:i w:val="0"/>
          <w:sz w:val="22"/>
          <w:lang w:val="fr-CH"/>
        </w:rPr>
        <w:tab/>
      </w:r>
      <w:r w:rsidR="003F282E" w:rsidRPr="003F282E">
        <w:rPr>
          <w:rFonts w:ascii="Arial" w:hAnsi="Arial" w:cs="Arial"/>
          <w:b/>
          <w:i w:val="0"/>
          <w:sz w:val="22"/>
          <w:lang w:val="fr-CH"/>
        </w:rPr>
        <w:t>Documents à conserver</w:t>
      </w:r>
    </w:p>
    <w:p w14:paraId="4DEECD24" w14:textId="539A3E7C" w:rsidR="00243EBA" w:rsidRPr="003F282E" w:rsidRDefault="003F282E" w:rsidP="00347259">
      <w:pPr>
        <w:pStyle w:val="Absatz"/>
        <w:spacing w:line="240" w:lineRule="auto"/>
        <w:rPr>
          <w:rFonts w:ascii="Arial" w:hAnsi="Arial" w:cs="Arial"/>
          <w:sz w:val="22"/>
          <w:szCs w:val="22"/>
          <w:lang w:val="fr-CH"/>
        </w:rPr>
      </w:pPr>
      <w:r w:rsidRPr="003F282E">
        <w:rPr>
          <w:rFonts w:ascii="Arial" w:hAnsi="Arial" w:cs="Arial"/>
          <w:sz w:val="22"/>
          <w:szCs w:val="22"/>
          <w:lang w:val="fr-CH"/>
        </w:rPr>
        <w:t>Les documents de planification nécessaires à l’élaboration de la présente convention doivent être conservés dix ans.</w:t>
      </w:r>
    </w:p>
    <w:p w14:paraId="5D40AE66" w14:textId="1475471B" w:rsidR="00243EBA" w:rsidRPr="00BF5802" w:rsidRDefault="00243EBA" w:rsidP="00617E6D">
      <w:pPr>
        <w:pStyle w:val="TitelArtikelKomm"/>
        <w:spacing w:line="360" w:lineRule="auto"/>
        <w:rPr>
          <w:rFonts w:ascii="Arial" w:hAnsi="Arial" w:cs="Arial"/>
          <w:b/>
          <w:i w:val="0"/>
          <w:sz w:val="22"/>
          <w:lang w:val="fr-CH"/>
        </w:rPr>
      </w:pPr>
      <w:r w:rsidRPr="00BF5802">
        <w:rPr>
          <w:rFonts w:ascii="Arial" w:hAnsi="Arial" w:cs="Arial"/>
          <w:b/>
          <w:i w:val="0"/>
          <w:sz w:val="22"/>
          <w:lang w:val="fr-CH"/>
        </w:rPr>
        <w:lastRenderedPageBreak/>
        <w:t>Art.</w:t>
      </w:r>
      <w:r w:rsidR="003F282E" w:rsidRPr="00BF5802">
        <w:rPr>
          <w:rFonts w:ascii="Arial" w:hAnsi="Arial" w:cs="Arial"/>
          <w:b/>
          <w:i w:val="0"/>
          <w:sz w:val="22"/>
          <w:lang w:val="fr-CH"/>
        </w:rPr>
        <w:t> </w:t>
      </w:r>
      <w:r w:rsidRPr="00BF5802">
        <w:rPr>
          <w:rFonts w:ascii="Arial" w:hAnsi="Arial" w:cs="Arial"/>
          <w:b/>
          <w:i w:val="0"/>
          <w:sz w:val="22"/>
          <w:lang w:val="fr-CH"/>
        </w:rPr>
        <w:t>26</w:t>
      </w:r>
      <w:r w:rsidRPr="00BF5802">
        <w:rPr>
          <w:rFonts w:ascii="Arial" w:hAnsi="Arial" w:cs="Arial"/>
          <w:b/>
          <w:i w:val="0"/>
          <w:sz w:val="22"/>
          <w:lang w:val="fr-CH"/>
        </w:rPr>
        <w:tab/>
      </w:r>
      <w:r w:rsidR="003F282E" w:rsidRPr="003F282E">
        <w:rPr>
          <w:rFonts w:ascii="Arial" w:hAnsi="Arial" w:cs="Arial"/>
          <w:b/>
          <w:i w:val="0"/>
          <w:sz w:val="22"/>
          <w:lang w:val="fr-CH"/>
        </w:rPr>
        <w:t>Présentation des comptes</w:t>
      </w:r>
    </w:p>
    <w:p w14:paraId="156F7478" w14:textId="45145E43" w:rsidR="00243EBA" w:rsidRPr="003F282E" w:rsidRDefault="003F282E" w:rsidP="008E39FF">
      <w:pPr>
        <w:pStyle w:val="Absatz"/>
        <w:spacing w:line="240" w:lineRule="auto"/>
        <w:rPr>
          <w:rFonts w:ascii="Arial" w:hAnsi="Arial" w:cs="Arial"/>
          <w:sz w:val="22"/>
          <w:szCs w:val="22"/>
          <w:lang w:val="fr-CH"/>
        </w:rPr>
      </w:pPr>
      <w:r w:rsidRPr="003F282E">
        <w:rPr>
          <w:rFonts w:ascii="Arial" w:hAnsi="Arial" w:cs="Arial"/>
          <w:sz w:val="22"/>
          <w:szCs w:val="22"/>
          <w:lang w:val="fr-CH"/>
        </w:rPr>
        <w:t>L’imputation de toutes les contributions se fonde sur l’OCEC</w:t>
      </w:r>
      <w:r>
        <w:rPr>
          <w:rFonts w:ascii="Arial" w:hAnsi="Arial" w:cs="Arial"/>
          <w:sz w:val="22"/>
          <w:szCs w:val="22"/>
          <w:lang w:val="fr-CH"/>
        </w:rPr>
        <w:t xml:space="preserve"> / l’OCPF</w:t>
      </w:r>
      <w:r w:rsidRPr="003F282E">
        <w:rPr>
          <w:rFonts w:ascii="Arial" w:hAnsi="Arial" w:cs="Arial"/>
          <w:sz w:val="22"/>
          <w:szCs w:val="22"/>
          <w:lang w:val="fr-CH"/>
        </w:rPr>
        <w:t>. Par sa signature, l’entreprise atteste que l’offre correspond aux bases de la présentation des comptes.</w:t>
      </w:r>
    </w:p>
    <w:p w14:paraId="6FD3EB45" w14:textId="77777777" w:rsidR="008E39FF" w:rsidRPr="003F282E" w:rsidRDefault="008E39FF" w:rsidP="008E39FF">
      <w:pPr>
        <w:pStyle w:val="Absatz"/>
        <w:spacing w:line="240" w:lineRule="auto"/>
        <w:rPr>
          <w:rFonts w:ascii="Arial" w:hAnsi="Arial" w:cs="Arial"/>
          <w:sz w:val="22"/>
          <w:szCs w:val="22"/>
          <w:lang w:val="fr-CH"/>
        </w:rPr>
      </w:pPr>
    </w:p>
    <w:p w14:paraId="2FF5A171" w14:textId="52F2C747" w:rsidR="00243EBA" w:rsidRPr="003F282E" w:rsidRDefault="003F282E" w:rsidP="000A0102">
      <w:pPr>
        <w:pStyle w:val="TitelAnhKurztit"/>
        <w:spacing w:line="240" w:lineRule="auto"/>
        <w:rPr>
          <w:rFonts w:ascii="Arial" w:hAnsi="Arial" w:cs="Arial"/>
          <w:sz w:val="24"/>
          <w:lang w:val="fr-CH"/>
        </w:rPr>
      </w:pPr>
      <w:r w:rsidRPr="003F282E">
        <w:rPr>
          <w:rFonts w:ascii="Arial" w:hAnsi="Arial" w:cs="Arial"/>
          <w:sz w:val="24"/>
          <w:lang w:val="fr-CH"/>
        </w:rPr>
        <w:t>Section 8</w:t>
      </w:r>
      <w:r w:rsidRPr="003F282E">
        <w:rPr>
          <w:rFonts w:ascii="Arial" w:hAnsi="Arial" w:cs="Arial"/>
          <w:sz w:val="24"/>
          <w:lang w:val="fr-CH"/>
        </w:rPr>
        <w:tab/>
        <w:t>Annexes, entrée en vigueur et durée de validité</w:t>
      </w:r>
    </w:p>
    <w:p w14:paraId="7D3F2AC3" w14:textId="51B1036C" w:rsidR="00243EBA" w:rsidRPr="003F282E" w:rsidRDefault="00243EBA" w:rsidP="00617E6D">
      <w:pPr>
        <w:pStyle w:val="TitelArtikelKomm"/>
        <w:spacing w:line="360" w:lineRule="auto"/>
        <w:rPr>
          <w:rFonts w:ascii="Arial" w:hAnsi="Arial" w:cs="Arial"/>
          <w:b/>
          <w:sz w:val="22"/>
          <w:lang w:val="fr-CH"/>
        </w:rPr>
      </w:pPr>
      <w:r w:rsidRPr="003F282E">
        <w:rPr>
          <w:rFonts w:ascii="Arial" w:hAnsi="Arial" w:cs="Arial"/>
          <w:b/>
          <w:i w:val="0"/>
          <w:sz w:val="22"/>
          <w:lang w:val="fr-CH"/>
        </w:rPr>
        <w:t>Art.</w:t>
      </w:r>
      <w:r w:rsidR="003F282E" w:rsidRPr="003F282E">
        <w:rPr>
          <w:rFonts w:ascii="Arial" w:hAnsi="Arial" w:cs="Arial"/>
          <w:b/>
          <w:i w:val="0"/>
          <w:sz w:val="22"/>
          <w:lang w:val="fr-CH"/>
        </w:rPr>
        <w:t> </w:t>
      </w:r>
      <w:r w:rsidRPr="003F282E">
        <w:rPr>
          <w:rFonts w:ascii="Arial" w:hAnsi="Arial" w:cs="Arial"/>
          <w:b/>
          <w:i w:val="0"/>
          <w:sz w:val="22"/>
          <w:lang w:val="fr-CH"/>
        </w:rPr>
        <w:t>27</w:t>
      </w:r>
      <w:r w:rsidRPr="003F282E">
        <w:rPr>
          <w:rFonts w:ascii="Arial" w:hAnsi="Arial" w:cs="Arial"/>
          <w:b/>
          <w:sz w:val="22"/>
          <w:lang w:val="fr-CH"/>
        </w:rPr>
        <w:tab/>
      </w:r>
      <w:r w:rsidR="003F282E" w:rsidRPr="003F282E">
        <w:rPr>
          <w:rFonts w:ascii="Arial" w:hAnsi="Arial" w:cs="Arial"/>
          <w:b/>
          <w:i w:val="0"/>
          <w:sz w:val="22"/>
          <w:lang w:val="fr-CH"/>
        </w:rPr>
        <w:t>Modifications</w:t>
      </w:r>
    </w:p>
    <w:p w14:paraId="58064FBA" w14:textId="6ADB694E" w:rsidR="00243EBA" w:rsidRPr="003F282E" w:rsidRDefault="003F282E" w:rsidP="00347259">
      <w:pPr>
        <w:pStyle w:val="Absatz"/>
        <w:spacing w:line="240" w:lineRule="auto"/>
        <w:rPr>
          <w:rFonts w:ascii="Arial" w:hAnsi="Arial" w:cs="Arial"/>
          <w:sz w:val="22"/>
          <w:szCs w:val="22"/>
          <w:lang w:val="fr-CH"/>
        </w:rPr>
      </w:pPr>
      <w:r w:rsidRPr="003F282E">
        <w:rPr>
          <w:rFonts w:ascii="Arial" w:hAnsi="Arial" w:cs="Arial"/>
          <w:sz w:val="22"/>
          <w:szCs w:val="22"/>
          <w:lang w:val="fr-CH"/>
        </w:rPr>
        <w:t>Les modifications doivent être conformes aux dispositions de l’art.</w:t>
      </w:r>
      <w:r>
        <w:rPr>
          <w:rFonts w:ascii="Arial" w:hAnsi="Arial" w:cs="Arial"/>
          <w:sz w:val="22"/>
          <w:szCs w:val="22"/>
          <w:lang w:val="fr-CH"/>
        </w:rPr>
        <w:t> </w:t>
      </w:r>
      <w:r w:rsidRPr="003F282E">
        <w:rPr>
          <w:rFonts w:ascii="Arial" w:hAnsi="Arial" w:cs="Arial"/>
          <w:sz w:val="22"/>
          <w:szCs w:val="22"/>
          <w:lang w:val="fr-CH"/>
        </w:rPr>
        <w:t xml:space="preserve">29 OCPF et peuvent notamment concerner des événements imprévus tels que des </w:t>
      </w:r>
      <w:r>
        <w:rPr>
          <w:rFonts w:ascii="Arial" w:hAnsi="Arial" w:cs="Arial"/>
          <w:sz w:val="22"/>
          <w:szCs w:val="22"/>
          <w:lang w:val="fr-CH"/>
        </w:rPr>
        <w:t>dommages c</w:t>
      </w:r>
      <w:r w:rsidRPr="003F282E">
        <w:rPr>
          <w:rFonts w:ascii="Arial" w:hAnsi="Arial" w:cs="Arial"/>
          <w:sz w:val="22"/>
          <w:szCs w:val="22"/>
          <w:lang w:val="fr-CH"/>
        </w:rPr>
        <w:t>ausés par les forces naturelles</w:t>
      </w:r>
      <w:r w:rsidR="00203053">
        <w:rPr>
          <w:rFonts w:ascii="Arial" w:hAnsi="Arial" w:cs="Arial"/>
          <w:sz w:val="22"/>
          <w:szCs w:val="22"/>
          <w:lang w:val="fr-CH"/>
        </w:rPr>
        <w:t>.</w:t>
      </w:r>
      <w:r w:rsidRPr="003F282E">
        <w:rPr>
          <w:rFonts w:ascii="Arial" w:hAnsi="Arial" w:cs="Arial"/>
          <w:sz w:val="22"/>
          <w:szCs w:val="22"/>
          <w:lang w:val="fr-CH"/>
        </w:rPr>
        <w:t xml:space="preserve"> Le besoin doit être attesté.</w:t>
      </w:r>
    </w:p>
    <w:p w14:paraId="052D6E23" w14:textId="52F5D65E" w:rsidR="00243EBA" w:rsidRPr="003F282E" w:rsidRDefault="00243EBA" w:rsidP="00617E6D">
      <w:pPr>
        <w:pStyle w:val="TitelArtikelKomm"/>
        <w:spacing w:line="360" w:lineRule="auto"/>
        <w:rPr>
          <w:rFonts w:ascii="Arial" w:hAnsi="Arial" w:cs="Arial"/>
          <w:b/>
          <w:sz w:val="22"/>
          <w:lang w:val="fr-CH"/>
        </w:rPr>
      </w:pPr>
      <w:r w:rsidRPr="003F282E">
        <w:rPr>
          <w:rFonts w:ascii="Arial" w:hAnsi="Arial" w:cs="Arial"/>
          <w:b/>
          <w:i w:val="0"/>
          <w:sz w:val="22"/>
          <w:lang w:val="fr-CH"/>
        </w:rPr>
        <w:t>Art.</w:t>
      </w:r>
      <w:r w:rsidR="003F282E" w:rsidRPr="003F282E">
        <w:rPr>
          <w:rFonts w:ascii="Arial" w:hAnsi="Arial" w:cs="Arial"/>
          <w:b/>
          <w:i w:val="0"/>
          <w:sz w:val="22"/>
          <w:lang w:val="fr-CH"/>
        </w:rPr>
        <w:t> </w:t>
      </w:r>
      <w:r w:rsidRPr="003F282E">
        <w:rPr>
          <w:rFonts w:ascii="Arial" w:hAnsi="Arial" w:cs="Arial"/>
          <w:b/>
          <w:i w:val="0"/>
          <w:sz w:val="22"/>
          <w:lang w:val="fr-CH"/>
        </w:rPr>
        <w:t>28</w:t>
      </w:r>
      <w:r w:rsidRPr="003F282E">
        <w:rPr>
          <w:rFonts w:ascii="Arial" w:hAnsi="Arial" w:cs="Arial"/>
          <w:b/>
          <w:sz w:val="22"/>
          <w:lang w:val="fr-CH"/>
        </w:rPr>
        <w:tab/>
      </w:r>
      <w:r w:rsidR="003F282E" w:rsidRPr="003F282E">
        <w:rPr>
          <w:rFonts w:ascii="Arial" w:hAnsi="Arial" w:cs="Arial"/>
          <w:b/>
          <w:i w:val="0"/>
          <w:iCs/>
          <w:sz w:val="22"/>
          <w:lang w:val="fr-CH"/>
        </w:rPr>
        <w:t>Indications et annexes selon la WDI</w:t>
      </w:r>
      <w:r w:rsidR="003F282E" w:rsidRPr="003F282E">
        <w:rPr>
          <w:rFonts w:ascii="Arial" w:hAnsi="Arial" w:cs="Arial"/>
          <w:b/>
          <w:sz w:val="22"/>
          <w:lang w:val="fr-CH"/>
        </w:rPr>
        <w:t xml:space="preserve"> </w:t>
      </w:r>
    </w:p>
    <w:p w14:paraId="2E2E0C9E" w14:textId="3C2DB063" w:rsidR="00B80C37" w:rsidRPr="003F282E" w:rsidRDefault="003F282E" w:rsidP="00347259">
      <w:pPr>
        <w:pStyle w:val="Absatz"/>
        <w:spacing w:line="240" w:lineRule="auto"/>
        <w:rPr>
          <w:rFonts w:ascii="Arial" w:hAnsi="Arial" w:cs="Arial"/>
          <w:sz w:val="22"/>
          <w:szCs w:val="22"/>
          <w:lang w:val="fr-CH"/>
        </w:rPr>
      </w:pPr>
      <w:r w:rsidRPr="003F282E">
        <w:rPr>
          <w:rFonts w:ascii="Arial" w:hAnsi="Arial" w:cs="Arial"/>
          <w:sz w:val="22"/>
          <w:szCs w:val="22"/>
          <w:lang w:val="fr-CH"/>
        </w:rPr>
        <w:t>Les indications et annexes dans la WDI font partie intégrante de la présente convention</w:t>
      </w:r>
      <w:r w:rsidR="00323C04" w:rsidRPr="003F282E">
        <w:rPr>
          <w:rFonts w:ascii="Arial" w:hAnsi="Arial" w:cs="Arial"/>
          <w:sz w:val="22"/>
          <w:szCs w:val="22"/>
          <w:lang w:val="fr-CH"/>
        </w:rPr>
        <w:t>.</w:t>
      </w:r>
    </w:p>
    <w:p w14:paraId="531B68E8" w14:textId="47851F6A" w:rsidR="00243EBA" w:rsidRPr="003F282E" w:rsidRDefault="00243EBA" w:rsidP="00617E6D">
      <w:pPr>
        <w:pStyle w:val="TitelArtikelKomm"/>
        <w:spacing w:line="360" w:lineRule="auto"/>
        <w:rPr>
          <w:rFonts w:ascii="Arial" w:hAnsi="Arial" w:cs="Arial"/>
          <w:b/>
          <w:sz w:val="22"/>
          <w:lang w:val="fr-CH"/>
        </w:rPr>
      </w:pPr>
      <w:r w:rsidRPr="003F282E">
        <w:rPr>
          <w:rFonts w:ascii="Arial" w:hAnsi="Arial" w:cs="Arial"/>
          <w:b/>
          <w:i w:val="0"/>
          <w:sz w:val="22"/>
          <w:lang w:val="fr-CH"/>
        </w:rPr>
        <w:t>Art.</w:t>
      </w:r>
      <w:r w:rsidR="003F282E" w:rsidRPr="003F282E">
        <w:rPr>
          <w:rFonts w:ascii="Arial" w:hAnsi="Arial" w:cs="Arial"/>
          <w:b/>
          <w:i w:val="0"/>
          <w:sz w:val="22"/>
          <w:lang w:val="fr-CH"/>
        </w:rPr>
        <w:t> </w:t>
      </w:r>
      <w:r w:rsidRPr="003F282E">
        <w:rPr>
          <w:rFonts w:ascii="Arial" w:hAnsi="Arial" w:cs="Arial"/>
          <w:b/>
          <w:i w:val="0"/>
          <w:sz w:val="22"/>
          <w:lang w:val="fr-CH"/>
        </w:rPr>
        <w:t>29</w:t>
      </w:r>
      <w:r w:rsidRPr="003F282E">
        <w:rPr>
          <w:rFonts w:ascii="Arial" w:hAnsi="Arial" w:cs="Arial"/>
          <w:b/>
          <w:sz w:val="22"/>
          <w:lang w:val="fr-CH"/>
        </w:rPr>
        <w:tab/>
      </w:r>
      <w:r w:rsidR="003F282E" w:rsidRPr="003F282E">
        <w:rPr>
          <w:rFonts w:ascii="Arial" w:hAnsi="Arial" w:cs="Arial"/>
          <w:b/>
          <w:i w:val="0"/>
          <w:sz w:val="22"/>
          <w:lang w:val="fr-CH"/>
        </w:rPr>
        <w:t>Durée de validité</w:t>
      </w:r>
    </w:p>
    <w:p w14:paraId="2C6F3FF4" w14:textId="31E83A00" w:rsidR="003F282E" w:rsidRPr="003F282E" w:rsidRDefault="003F282E" w:rsidP="003F282E">
      <w:pPr>
        <w:spacing w:before="80" w:line="240" w:lineRule="auto"/>
        <w:jc w:val="both"/>
        <w:rPr>
          <w:rFonts w:eastAsia="Times New Roman"/>
          <w:sz w:val="22"/>
          <w:lang w:val="fr-CH" w:eastAsia="de-DE"/>
        </w:rPr>
      </w:pPr>
      <w:r w:rsidRPr="003F282E">
        <w:rPr>
          <w:rFonts w:eastAsia="Times New Roman"/>
          <w:sz w:val="22"/>
          <w:lang w:val="fr-CH" w:eastAsia="de-DE"/>
        </w:rPr>
        <w:t xml:space="preserve">La présente convention est valable </w:t>
      </w:r>
      <w:r w:rsidR="00203053">
        <w:rPr>
          <w:rFonts w:eastAsia="Times New Roman"/>
          <w:sz w:val="22"/>
          <w:lang w:val="fr-CH" w:eastAsia="de-DE"/>
        </w:rPr>
        <w:t>pour</w:t>
      </w:r>
      <w:r w:rsidR="00203053" w:rsidRPr="003F282E">
        <w:rPr>
          <w:rFonts w:eastAsia="Times New Roman"/>
          <w:sz w:val="22"/>
          <w:lang w:val="fr-CH" w:eastAsia="de-DE"/>
        </w:rPr>
        <w:t xml:space="preserve"> </w:t>
      </w:r>
      <w:r w:rsidRPr="003F282E">
        <w:rPr>
          <w:rFonts w:eastAsia="Times New Roman"/>
          <w:sz w:val="22"/>
          <w:lang w:val="fr-CH" w:eastAsia="de-DE"/>
        </w:rPr>
        <w:t>les années 2025 à 2028. Les dispositions valables pour les prêts conditionnellement remboursables s’appliquent jusqu’au terme du remboursement ou jusqu’à la renonciation au remboursement desdits prêts.</w:t>
      </w:r>
    </w:p>
    <w:p w14:paraId="22C7F1CC" w14:textId="77777777" w:rsidR="00243EBA" w:rsidRPr="00BF5802" w:rsidRDefault="009C3466" w:rsidP="009C3466">
      <w:pPr>
        <w:spacing w:after="160" w:line="259" w:lineRule="auto"/>
        <w:rPr>
          <w:sz w:val="22"/>
          <w:lang w:val="fr-CH"/>
        </w:rPr>
      </w:pPr>
      <w:r w:rsidRPr="00BF5802">
        <w:rPr>
          <w:sz w:val="22"/>
          <w:lang w:val="fr-CH"/>
        </w:rPr>
        <w:br w:type="page"/>
      </w:r>
    </w:p>
    <w:p w14:paraId="6B93D608" w14:textId="4DC7B350" w:rsidR="007B0993" w:rsidRPr="003F282E" w:rsidRDefault="003F282E" w:rsidP="007B0993">
      <w:pPr>
        <w:pStyle w:val="LV-Text"/>
        <w:rPr>
          <w:b/>
          <w:bCs/>
          <w:sz w:val="24"/>
          <w:szCs w:val="24"/>
          <w:lang w:val="fr-CH"/>
        </w:rPr>
      </w:pPr>
      <w:r w:rsidRPr="003F282E">
        <w:rPr>
          <w:b/>
          <w:sz w:val="24"/>
          <w:szCs w:val="24"/>
          <w:lang w:val="fr-CH"/>
        </w:rPr>
        <w:lastRenderedPageBreak/>
        <w:t>Office fédéral des transports</w:t>
      </w:r>
    </w:p>
    <w:p w14:paraId="2186D038" w14:textId="77777777" w:rsidR="007B0993" w:rsidRPr="00BF5802" w:rsidRDefault="007B0993" w:rsidP="007B0993">
      <w:pPr>
        <w:pStyle w:val="Grundschrift"/>
        <w:spacing w:line="288" w:lineRule="auto"/>
        <w:rPr>
          <w:rFonts w:cs="Arial"/>
          <w:lang w:val="fr-CH"/>
        </w:rPr>
      </w:pPr>
    </w:p>
    <w:p w14:paraId="4BEEA99E" w14:textId="77777777" w:rsidR="007B0993" w:rsidRPr="00BF5802" w:rsidRDefault="007B0993" w:rsidP="007B0993">
      <w:pPr>
        <w:pStyle w:val="Grundschrift"/>
        <w:spacing w:line="288" w:lineRule="auto"/>
        <w:rPr>
          <w:rFonts w:cs="Arial"/>
          <w:lang w:val="fr-CH"/>
        </w:rPr>
      </w:pPr>
    </w:p>
    <w:p w14:paraId="1DEDF1DC" w14:textId="77777777" w:rsidR="007B0993" w:rsidRPr="00BF5802" w:rsidRDefault="007B0993" w:rsidP="007B0993">
      <w:pPr>
        <w:pStyle w:val="Grundschrift"/>
        <w:spacing w:line="288" w:lineRule="auto"/>
        <w:rPr>
          <w:rFonts w:cs="Arial"/>
          <w:lang w:val="fr-CH"/>
        </w:rPr>
      </w:pPr>
    </w:p>
    <w:p w14:paraId="4C644822" w14:textId="77777777" w:rsidR="007B0993" w:rsidRPr="00BF5802" w:rsidRDefault="007B0993" w:rsidP="007B0993">
      <w:pPr>
        <w:pStyle w:val="Grundschrift"/>
        <w:tabs>
          <w:tab w:val="clear" w:pos="1540"/>
          <w:tab w:val="left" w:pos="5670"/>
        </w:tabs>
        <w:spacing w:line="288" w:lineRule="auto"/>
        <w:rPr>
          <w:rFonts w:cs="Arial"/>
          <w:sz w:val="22"/>
          <w:szCs w:val="22"/>
          <w:lang w:val="fr-CH"/>
        </w:rPr>
      </w:pPr>
      <w:r w:rsidRPr="00BF5802">
        <w:rPr>
          <w:rFonts w:cs="Arial"/>
          <w:sz w:val="22"/>
          <w:szCs w:val="22"/>
          <w:lang w:val="fr-CH"/>
        </w:rPr>
        <w:t>.........................................................</w:t>
      </w:r>
      <w:r w:rsidRPr="00BF5802">
        <w:rPr>
          <w:rFonts w:cs="Arial"/>
          <w:sz w:val="22"/>
          <w:szCs w:val="22"/>
          <w:lang w:val="fr-CH"/>
        </w:rPr>
        <w:tab/>
        <w:t>.......................................................</w:t>
      </w:r>
    </w:p>
    <w:p w14:paraId="3E301792" w14:textId="1B840E74" w:rsidR="007B0993" w:rsidRPr="003F282E" w:rsidRDefault="003F282E" w:rsidP="007B0993">
      <w:pPr>
        <w:pStyle w:val="Grundschrift"/>
        <w:tabs>
          <w:tab w:val="clear" w:pos="1540"/>
          <w:tab w:val="left" w:pos="5670"/>
        </w:tabs>
        <w:spacing w:before="0" w:line="240" w:lineRule="auto"/>
        <w:rPr>
          <w:rFonts w:cs="Arial"/>
          <w:sz w:val="22"/>
          <w:szCs w:val="22"/>
          <w:lang w:val="fr-CH"/>
        </w:rPr>
      </w:pPr>
      <w:r w:rsidRPr="003F282E">
        <w:rPr>
          <w:rFonts w:cs="Arial"/>
          <w:sz w:val="22"/>
          <w:szCs w:val="22"/>
          <w:lang w:val="fr-CH"/>
        </w:rPr>
        <w:t>Christa Hostettler</w:t>
      </w:r>
      <w:r w:rsidR="007B0993" w:rsidRPr="003F282E">
        <w:rPr>
          <w:rFonts w:cs="Arial"/>
          <w:sz w:val="22"/>
          <w:szCs w:val="22"/>
          <w:lang w:val="fr-CH"/>
        </w:rPr>
        <w:tab/>
      </w:r>
      <w:r w:rsidR="00F37073" w:rsidRPr="003F282E">
        <w:rPr>
          <w:rFonts w:cs="Arial"/>
          <w:sz w:val="22"/>
          <w:szCs w:val="22"/>
          <w:lang w:val="fr-CH"/>
        </w:rPr>
        <w:t>Martin von Känel</w:t>
      </w:r>
    </w:p>
    <w:p w14:paraId="5604FFFF" w14:textId="340AC717" w:rsidR="007B0993" w:rsidRPr="003F282E" w:rsidRDefault="003F282E" w:rsidP="007B0993">
      <w:pPr>
        <w:pStyle w:val="Grundschrift"/>
        <w:tabs>
          <w:tab w:val="clear" w:pos="1540"/>
          <w:tab w:val="left" w:pos="5670"/>
        </w:tabs>
        <w:spacing w:before="0" w:line="240" w:lineRule="auto"/>
        <w:rPr>
          <w:rFonts w:cs="Arial"/>
          <w:sz w:val="22"/>
          <w:szCs w:val="22"/>
          <w:lang w:val="fr-CH"/>
        </w:rPr>
      </w:pPr>
      <w:r w:rsidRPr="003F282E">
        <w:rPr>
          <w:rFonts w:cs="Arial"/>
          <w:sz w:val="22"/>
          <w:szCs w:val="22"/>
          <w:lang w:val="fr-CH"/>
        </w:rPr>
        <w:t>Directrice</w:t>
      </w:r>
      <w:r w:rsidR="007B0993" w:rsidRPr="003F282E">
        <w:rPr>
          <w:rFonts w:cs="Arial"/>
          <w:sz w:val="22"/>
          <w:szCs w:val="22"/>
          <w:lang w:val="fr-CH"/>
        </w:rPr>
        <w:tab/>
      </w:r>
      <w:r>
        <w:rPr>
          <w:rFonts w:cs="Arial"/>
          <w:sz w:val="22"/>
          <w:szCs w:val="22"/>
          <w:lang w:val="fr-CH"/>
        </w:rPr>
        <w:t>Chef de la division</w:t>
      </w:r>
      <w:r w:rsidR="00F97F72" w:rsidRPr="003F282E">
        <w:rPr>
          <w:rFonts w:cs="Arial"/>
          <w:sz w:val="22"/>
          <w:szCs w:val="22"/>
          <w:lang w:val="fr-CH"/>
        </w:rPr>
        <w:t xml:space="preserve"> </w:t>
      </w:r>
      <w:r>
        <w:rPr>
          <w:rFonts w:cs="Arial"/>
          <w:sz w:val="22"/>
          <w:szCs w:val="22"/>
          <w:lang w:val="fr-CH"/>
        </w:rPr>
        <w:t xml:space="preserve">Financement </w:t>
      </w:r>
    </w:p>
    <w:p w14:paraId="18DDD02D" w14:textId="77777777" w:rsidR="007B0993" w:rsidRPr="003F282E" w:rsidRDefault="007B0993" w:rsidP="007B0993">
      <w:pPr>
        <w:pStyle w:val="Grundschrift"/>
        <w:tabs>
          <w:tab w:val="clear" w:pos="1540"/>
          <w:tab w:val="left" w:pos="5670"/>
        </w:tabs>
        <w:spacing w:line="288" w:lineRule="auto"/>
        <w:rPr>
          <w:rFonts w:cs="Arial"/>
          <w:sz w:val="22"/>
          <w:szCs w:val="22"/>
          <w:lang w:val="fr-CH"/>
        </w:rPr>
      </w:pPr>
    </w:p>
    <w:p w14:paraId="10880F77" w14:textId="77777777" w:rsidR="007B0993" w:rsidRPr="003F282E" w:rsidRDefault="007B0993" w:rsidP="007B0993">
      <w:pPr>
        <w:pStyle w:val="Grundschrift"/>
        <w:tabs>
          <w:tab w:val="clear" w:pos="1540"/>
          <w:tab w:val="left" w:pos="5670"/>
        </w:tabs>
        <w:spacing w:line="288" w:lineRule="auto"/>
        <w:rPr>
          <w:rFonts w:cs="Arial"/>
          <w:sz w:val="22"/>
          <w:szCs w:val="22"/>
          <w:lang w:val="fr-CH"/>
        </w:rPr>
      </w:pPr>
    </w:p>
    <w:p w14:paraId="4EC5F5C9" w14:textId="77777777" w:rsidR="007B0993" w:rsidRPr="003F282E" w:rsidRDefault="007B0993" w:rsidP="007B0993">
      <w:pPr>
        <w:pStyle w:val="Grundschrift"/>
        <w:tabs>
          <w:tab w:val="clear" w:pos="1540"/>
          <w:tab w:val="left" w:pos="5670"/>
        </w:tabs>
        <w:spacing w:line="288" w:lineRule="auto"/>
        <w:rPr>
          <w:rFonts w:cs="Arial"/>
          <w:sz w:val="22"/>
          <w:szCs w:val="22"/>
          <w:lang w:val="fr-CH"/>
        </w:rPr>
      </w:pPr>
    </w:p>
    <w:p w14:paraId="1B730AA5" w14:textId="003B5125" w:rsidR="007B0993" w:rsidRPr="003F282E" w:rsidRDefault="007B0993" w:rsidP="007B0993">
      <w:pPr>
        <w:pStyle w:val="Grundschrift"/>
        <w:tabs>
          <w:tab w:val="clear" w:pos="1540"/>
          <w:tab w:val="left" w:pos="5670"/>
        </w:tabs>
        <w:spacing w:line="288" w:lineRule="auto"/>
        <w:rPr>
          <w:rFonts w:cs="Arial"/>
          <w:sz w:val="22"/>
          <w:szCs w:val="22"/>
          <w:lang w:val="fr-CH"/>
        </w:rPr>
      </w:pPr>
      <w:r w:rsidRPr="003F282E">
        <w:rPr>
          <w:rFonts w:cs="Arial"/>
          <w:sz w:val="22"/>
          <w:szCs w:val="22"/>
          <w:lang w:val="fr-CH"/>
        </w:rPr>
        <w:t>3003 Bern</w:t>
      </w:r>
      <w:r w:rsidR="003F282E">
        <w:rPr>
          <w:rFonts w:cs="Arial"/>
          <w:sz w:val="22"/>
          <w:szCs w:val="22"/>
          <w:lang w:val="fr-CH"/>
        </w:rPr>
        <w:t>e</w:t>
      </w:r>
      <w:r w:rsidRPr="003F282E">
        <w:rPr>
          <w:rFonts w:cs="Arial"/>
          <w:sz w:val="22"/>
          <w:szCs w:val="22"/>
          <w:lang w:val="fr-CH"/>
        </w:rPr>
        <w:t xml:space="preserve">, </w:t>
      </w:r>
      <w:r w:rsidR="00F02022">
        <w:rPr>
          <w:rFonts w:cs="Arial"/>
          <w:sz w:val="22"/>
          <w:szCs w:val="22"/>
          <w:lang w:val="fr-CH"/>
        </w:rPr>
        <w:t xml:space="preserve">le </w:t>
      </w:r>
      <w:r w:rsidRPr="003F282E">
        <w:rPr>
          <w:rFonts w:cs="Arial"/>
          <w:sz w:val="22"/>
          <w:szCs w:val="22"/>
          <w:lang w:val="fr-CH"/>
        </w:rPr>
        <w:t>.......................................</w:t>
      </w:r>
    </w:p>
    <w:p w14:paraId="276C21A0" w14:textId="77777777" w:rsidR="007B0993" w:rsidRPr="00BF5802" w:rsidRDefault="007B0993" w:rsidP="007B0993">
      <w:pPr>
        <w:pStyle w:val="Grundschrift"/>
        <w:tabs>
          <w:tab w:val="clear" w:pos="1540"/>
          <w:tab w:val="left" w:pos="5670"/>
        </w:tabs>
        <w:spacing w:line="288" w:lineRule="auto"/>
        <w:rPr>
          <w:rFonts w:cs="Arial"/>
          <w:sz w:val="22"/>
          <w:szCs w:val="22"/>
          <w:lang w:val="fr-CH"/>
        </w:rPr>
      </w:pPr>
    </w:p>
    <w:p w14:paraId="7A52CE1D" w14:textId="77777777" w:rsidR="007B0993" w:rsidRPr="00BF5802" w:rsidRDefault="007B0993" w:rsidP="007B0993">
      <w:pPr>
        <w:pStyle w:val="Grundschrift"/>
        <w:spacing w:line="288" w:lineRule="auto"/>
        <w:rPr>
          <w:rFonts w:cs="Arial"/>
          <w:sz w:val="22"/>
          <w:szCs w:val="22"/>
          <w:lang w:val="fr-CH"/>
        </w:rPr>
      </w:pPr>
    </w:p>
    <w:p w14:paraId="55BA2A51" w14:textId="77777777" w:rsidR="007B0993" w:rsidRPr="00BF5802" w:rsidRDefault="007B0993" w:rsidP="007B0993">
      <w:pPr>
        <w:rPr>
          <w:lang w:val="fr-CH"/>
        </w:rPr>
      </w:pPr>
    </w:p>
    <w:p w14:paraId="61F641F6" w14:textId="77777777" w:rsidR="007B0993" w:rsidRPr="00BF5802" w:rsidRDefault="007B0993" w:rsidP="007B0993">
      <w:pPr>
        <w:rPr>
          <w:lang w:val="fr-CH"/>
        </w:rPr>
      </w:pPr>
    </w:p>
    <w:p w14:paraId="3F4D60B8" w14:textId="77777777" w:rsidR="007B0993" w:rsidRPr="00BF5802" w:rsidRDefault="007B0993" w:rsidP="007B0993">
      <w:pPr>
        <w:rPr>
          <w:lang w:val="fr-CH"/>
        </w:rPr>
      </w:pPr>
    </w:p>
    <w:p w14:paraId="16845155" w14:textId="77777777" w:rsidR="007B0993" w:rsidRPr="00BF5802" w:rsidRDefault="007B0993" w:rsidP="007B0993">
      <w:pPr>
        <w:rPr>
          <w:lang w:val="fr-CH"/>
        </w:rPr>
      </w:pPr>
    </w:p>
    <w:p w14:paraId="6D30DF3A" w14:textId="77777777" w:rsidR="007B0993" w:rsidRPr="00BF5802" w:rsidRDefault="007B0993" w:rsidP="007B0993">
      <w:pPr>
        <w:rPr>
          <w:lang w:val="fr-CH"/>
        </w:rPr>
      </w:pPr>
    </w:p>
    <w:p w14:paraId="06F09A80" w14:textId="3ECD457A" w:rsidR="007B0993" w:rsidRPr="00BF5802" w:rsidRDefault="00026499" w:rsidP="007B0993">
      <w:pPr>
        <w:pStyle w:val="Grundschrift"/>
        <w:spacing w:line="288" w:lineRule="auto"/>
        <w:rPr>
          <w:rFonts w:cs="Arial"/>
          <w:lang w:val="fr-CH"/>
        </w:rPr>
      </w:pPr>
      <w:proofErr w:type="gramStart"/>
      <w:r w:rsidRPr="00BF5802">
        <w:rPr>
          <w:rFonts w:eastAsia="Calibri"/>
          <w:b/>
          <w:sz w:val="24"/>
          <w:szCs w:val="24"/>
          <w:lang w:val="fr-CH"/>
        </w:rPr>
        <w:t>xxx</w:t>
      </w:r>
      <w:proofErr w:type="gramEnd"/>
      <w:r w:rsidR="007B0993" w:rsidRPr="00BF5802">
        <w:rPr>
          <w:rFonts w:eastAsia="Calibri"/>
          <w:b/>
          <w:sz w:val="24"/>
          <w:szCs w:val="24"/>
          <w:lang w:val="fr-CH"/>
        </w:rPr>
        <w:t xml:space="preserve"> </w:t>
      </w:r>
      <w:r w:rsidR="003F282E" w:rsidRPr="00BF5802">
        <w:rPr>
          <w:rFonts w:eastAsia="Calibri"/>
          <w:b/>
          <w:sz w:val="24"/>
          <w:szCs w:val="24"/>
          <w:lang w:val="fr-CH"/>
        </w:rPr>
        <w:t>SA</w:t>
      </w:r>
      <w:r w:rsidR="007B0993" w:rsidRPr="00BF5802">
        <w:rPr>
          <w:bCs/>
          <w:lang w:val="fr-CH"/>
        </w:rPr>
        <w:t xml:space="preserve"> </w:t>
      </w:r>
    </w:p>
    <w:p w14:paraId="5763DFAA" w14:textId="77777777" w:rsidR="007B0993" w:rsidRPr="00BF5802" w:rsidRDefault="007B0993" w:rsidP="007B0993">
      <w:pPr>
        <w:pStyle w:val="Grundschrift"/>
        <w:spacing w:line="288" w:lineRule="auto"/>
        <w:rPr>
          <w:rFonts w:cs="Arial"/>
          <w:lang w:val="fr-CH"/>
        </w:rPr>
      </w:pPr>
    </w:p>
    <w:p w14:paraId="2D885B52" w14:textId="77777777" w:rsidR="007B0993" w:rsidRPr="00BF5802" w:rsidRDefault="007B0993" w:rsidP="007B0993">
      <w:pPr>
        <w:pStyle w:val="Grundschrift"/>
        <w:spacing w:line="288" w:lineRule="auto"/>
        <w:rPr>
          <w:rFonts w:cs="Arial"/>
          <w:lang w:val="fr-CH"/>
        </w:rPr>
      </w:pPr>
    </w:p>
    <w:p w14:paraId="6324151B" w14:textId="77777777" w:rsidR="007B0993" w:rsidRPr="00BF5802" w:rsidRDefault="007B0993" w:rsidP="007B0993">
      <w:pPr>
        <w:pStyle w:val="Grundschrift"/>
        <w:spacing w:line="288" w:lineRule="auto"/>
        <w:rPr>
          <w:rFonts w:cs="Arial"/>
          <w:lang w:val="fr-CH"/>
        </w:rPr>
      </w:pPr>
    </w:p>
    <w:p w14:paraId="7A4A8F1C" w14:textId="77777777" w:rsidR="007B0993" w:rsidRPr="00BF5802" w:rsidRDefault="007B0993" w:rsidP="007B0993">
      <w:pPr>
        <w:pStyle w:val="Grundschrift"/>
        <w:tabs>
          <w:tab w:val="clear" w:pos="1540"/>
          <w:tab w:val="left" w:pos="5670"/>
        </w:tabs>
        <w:spacing w:line="288" w:lineRule="auto"/>
        <w:rPr>
          <w:rFonts w:cs="Arial"/>
          <w:sz w:val="22"/>
          <w:szCs w:val="22"/>
          <w:lang w:val="fr-CH"/>
        </w:rPr>
      </w:pPr>
      <w:r w:rsidRPr="00BF5802">
        <w:rPr>
          <w:rFonts w:cs="Arial"/>
          <w:sz w:val="22"/>
          <w:szCs w:val="22"/>
          <w:lang w:val="fr-CH"/>
        </w:rPr>
        <w:t>.........................................................</w:t>
      </w:r>
      <w:r w:rsidRPr="00BF5802">
        <w:rPr>
          <w:rFonts w:cs="Arial"/>
          <w:sz w:val="22"/>
          <w:szCs w:val="22"/>
          <w:lang w:val="fr-CH"/>
        </w:rPr>
        <w:tab/>
        <w:t>.......................................................</w:t>
      </w:r>
    </w:p>
    <w:p w14:paraId="1961315E" w14:textId="3E2B6744" w:rsidR="00026499" w:rsidRPr="003F282E" w:rsidRDefault="003F282E" w:rsidP="00026499">
      <w:pPr>
        <w:pStyle w:val="Grundschrift"/>
        <w:tabs>
          <w:tab w:val="clear" w:pos="1540"/>
          <w:tab w:val="left" w:pos="5670"/>
        </w:tabs>
        <w:spacing w:before="0" w:line="240" w:lineRule="auto"/>
        <w:rPr>
          <w:rFonts w:cs="Arial"/>
          <w:sz w:val="22"/>
          <w:szCs w:val="22"/>
          <w:lang w:val="fr-CH"/>
        </w:rPr>
      </w:pPr>
      <w:r w:rsidRPr="003F282E">
        <w:rPr>
          <w:rFonts w:cs="Arial"/>
          <w:sz w:val="22"/>
          <w:szCs w:val="22"/>
          <w:lang w:val="fr-CH"/>
        </w:rPr>
        <w:t>Prénom Nom</w:t>
      </w:r>
      <w:r w:rsidR="00026499" w:rsidRPr="003F282E">
        <w:rPr>
          <w:rFonts w:cs="Arial"/>
          <w:sz w:val="22"/>
          <w:szCs w:val="22"/>
          <w:lang w:val="fr-CH"/>
        </w:rPr>
        <w:tab/>
      </w:r>
      <w:r w:rsidRPr="003F282E">
        <w:rPr>
          <w:rFonts w:cs="Arial"/>
          <w:sz w:val="22"/>
          <w:szCs w:val="22"/>
          <w:lang w:val="fr-CH"/>
        </w:rPr>
        <w:t>Prénom Nom</w:t>
      </w:r>
    </w:p>
    <w:p w14:paraId="40AF90EE" w14:textId="0D0DE12F" w:rsidR="00026499" w:rsidRPr="003F282E" w:rsidRDefault="003F282E" w:rsidP="00026499">
      <w:pPr>
        <w:pStyle w:val="Grundschrift"/>
        <w:tabs>
          <w:tab w:val="clear" w:pos="1540"/>
          <w:tab w:val="left" w:pos="5670"/>
        </w:tabs>
        <w:spacing w:before="0" w:line="240" w:lineRule="auto"/>
        <w:rPr>
          <w:rFonts w:cs="Arial"/>
          <w:sz w:val="22"/>
          <w:szCs w:val="22"/>
          <w:lang w:val="fr-CH"/>
        </w:rPr>
      </w:pPr>
      <w:r w:rsidRPr="003F282E">
        <w:rPr>
          <w:rFonts w:cs="Arial"/>
          <w:sz w:val="22"/>
          <w:szCs w:val="22"/>
          <w:lang w:val="fr-CH"/>
        </w:rPr>
        <w:t>Présidente / président du Conseil d’administration</w:t>
      </w:r>
      <w:r w:rsidR="00026499" w:rsidRPr="003F282E">
        <w:rPr>
          <w:rFonts w:cs="Arial"/>
          <w:sz w:val="22"/>
          <w:szCs w:val="22"/>
          <w:lang w:val="fr-CH"/>
        </w:rPr>
        <w:tab/>
      </w:r>
      <w:r w:rsidRPr="003F282E">
        <w:rPr>
          <w:rFonts w:cs="Arial"/>
          <w:sz w:val="22"/>
          <w:szCs w:val="22"/>
          <w:lang w:val="fr-CH"/>
        </w:rPr>
        <w:t>Directrice / Directeur</w:t>
      </w:r>
    </w:p>
    <w:p w14:paraId="2A57D3A1" w14:textId="77777777" w:rsidR="007B0993" w:rsidRPr="003F282E" w:rsidRDefault="007B0993" w:rsidP="007B0993">
      <w:pPr>
        <w:pStyle w:val="Grundschrift"/>
        <w:tabs>
          <w:tab w:val="clear" w:pos="1540"/>
          <w:tab w:val="left" w:pos="5670"/>
        </w:tabs>
        <w:spacing w:line="288" w:lineRule="auto"/>
        <w:rPr>
          <w:rFonts w:cs="Arial"/>
          <w:sz w:val="22"/>
          <w:szCs w:val="22"/>
          <w:lang w:val="fr-CH"/>
        </w:rPr>
      </w:pPr>
    </w:p>
    <w:p w14:paraId="065E80D0" w14:textId="77777777" w:rsidR="007B0993" w:rsidRPr="003F282E" w:rsidRDefault="007B0993" w:rsidP="007B0993">
      <w:pPr>
        <w:pStyle w:val="Grundschrift"/>
        <w:tabs>
          <w:tab w:val="clear" w:pos="1540"/>
          <w:tab w:val="left" w:pos="5670"/>
        </w:tabs>
        <w:spacing w:line="288" w:lineRule="auto"/>
        <w:rPr>
          <w:rFonts w:cs="Arial"/>
          <w:sz w:val="22"/>
          <w:szCs w:val="22"/>
          <w:lang w:val="fr-CH"/>
        </w:rPr>
      </w:pPr>
    </w:p>
    <w:p w14:paraId="72805D50" w14:textId="77777777" w:rsidR="007B0993" w:rsidRPr="003F282E" w:rsidRDefault="007B0993" w:rsidP="007B0993">
      <w:pPr>
        <w:pStyle w:val="Grundschrift"/>
        <w:tabs>
          <w:tab w:val="clear" w:pos="1540"/>
          <w:tab w:val="left" w:pos="5670"/>
        </w:tabs>
        <w:spacing w:line="288" w:lineRule="auto"/>
        <w:rPr>
          <w:rFonts w:cs="Arial"/>
          <w:sz w:val="22"/>
          <w:szCs w:val="22"/>
          <w:lang w:val="fr-CH"/>
        </w:rPr>
      </w:pPr>
    </w:p>
    <w:p w14:paraId="4188B748" w14:textId="38D9E128" w:rsidR="007B0993" w:rsidRPr="003F282E" w:rsidRDefault="00026499" w:rsidP="007B0993">
      <w:pPr>
        <w:pStyle w:val="Grundschrift"/>
        <w:tabs>
          <w:tab w:val="clear" w:pos="1540"/>
          <w:tab w:val="left" w:pos="5670"/>
        </w:tabs>
        <w:spacing w:line="288" w:lineRule="auto"/>
        <w:rPr>
          <w:rFonts w:cs="Arial"/>
          <w:sz w:val="22"/>
          <w:szCs w:val="22"/>
          <w:lang w:val="fr-CH"/>
        </w:rPr>
      </w:pPr>
      <w:proofErr w:type="spellStart"/>
      <w:proofErr w:type="gramStart"/>
      <w:r w:rsidRPr="003F282E">
        <w:rPr>
          <w:sz w:val="22"/>
          <w:szCs w:val="22"/>
          <w:lang w:val="fr-CH"/>
        </w:rPr>
        <w:t>xxx</w:t>
      </w:r>
      <w:r w:rsidR="001052F1" w:rsidRPr="003F282E">
        <w:rPr>
          <w:sz w:val="22"/>
          <w:szCs w:val="22"/>
          <w:lang w:val="fr-CH"/>
        </w:rPr>
        <w:t>x</w:t>
      </w:r>
      <w:proofErr w:type="spellEnd"/>
      <w:proofErr w:type="gramEnd"/>
      <w:r w:rsidR="007B0993" w:rsidRPr="003F282E">
        <w:rPr>
          <w:sz w:val="22"/>
          <w:szCs w:val="22"/>
          <w:lang w:val="fr-CH"/>
        </w:rPr>
        <w:t xml:space="preserve"> </w:t>
      </w:r>
      <w:r w:rsidR="003F282E">
        <w:rPr>
          <w:sz w:val="22"/>
          <w:szCs w:val="22"/>
          <w:lang w:val="fr-CH"/>
        </w:rPr>
        <w:t>lieu</w:t>
      </w:r>
      <w:r w:rsidR="007B0993" w:rsidRPr="003F282E">
        <w:rPr>
          <w:rFonts w:cs="Arial"/>
          <w:sz w:val="22"/>
          <w:szCs w:val="22"/>
          <w:lang w:val="fr-CH"/>
        </w:rPr>
        <w:t xml:space="preserve">, </w:t>
      </w:r>
      <w:r w:rsidR="00F02022">
        <w:rPr>
          <w:rFonts w:cs="Arial"/>
          <w:sz w:val="22"/>
          <w:szCs w:val="22"/>
          <w:lang w:val="fr-CH"/>
        </w:rPr>
        <w:t xml:space="preserve">le </w:t>
      </w:r>
      <w:r w:rsidR="007B0993" w:rsidRPr="003F282E">
        <w:rPr>
          <w:rFonts w:cs="Arial"/>
          <w:sz w:val="22"/>
          <w:szCs w:val="22"/>
          <w:lang w:val="fr-CH"/>
        </w:rPr>
        <w:t>...............................</w:t>
      </w:r>
    </w:p>
    <w:p w14:paraId="34EC0A51" w14:textId="77777777" w:rsidR="007B0993" w:rsidRPr="00E4385B" w:rsidRDefault="007B0993" w:rsidP="007B0993">
      <w:pPr>
        <w:pStyle w:val="Grundschrift"/>
        <w:tabs>
          <w:tab w:val="clear" w:pos="1540"/>
          <w:tab w:val="left" w:pos="5670"/>
        </w:tabs>
        <w:spacing w:line="288" w:lineRule="auto"/>
        <w:rPr>
          <w:rFonts w:cs="Arial"/>
          <w:sz w:val="22"/>
          <w:szCs w:val="22"/>
          <w:lang w:val="fr-CH"/>
        </w:rPr>
      </w:pPr>
    </w:p>
    <w:p w14:paraId="5E549200" w14:textId="77777777" w:rsidR="00243EBA" w:rsidRPr="00E4385B" w:rsidRDefault="00243EBA" w:rsidP="00243EBA">
      <w:pPr>
        <w:pStyle w:val="Absatz"/>
        <w:rPr>
          <w:rFonts w:ascii="Arial" w:hAnsi="Arial" w:cs="Arial"/>
          <w:sz w:val="20"/>
          <w:lang w:val="fr-CH"/>
        </w:rPr>
      </w:pPr>
    </w:p>
    <w:p w14:paraId="6D71FC43" w14:textId="77777777" w:rsidR="00C33B49" w:rsidRPr="00E4385B" w:rsidRDefault="00C33B49" w:rsidP="00D64314">
      <w:pPr>
        <w:rPr>
          <w:sz w:val="22"/>
          <w:lang w:val="fr-CH"/>
        </w:rPr>
      </w:pPr>
    </w:p>
    <w:sectPr w:rsidR="00C33B49" w:rsidRPr="00E4385B" w:rsidSect="0079076C">
      <w:footerReference w:type="default" r:id="rId10"/>
      <w:headerReference w:type="first" r:id="rId11"/>
      <w:pgSz w:w="11907" w:h="1683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E819" w14:textId="77777777" w:rsidR="005D4F22" w:rsidRDefault="005D4F22" w:rsidP="00243EBA">
      <w:pPr>
        <w:spacing w:line="240" w:lineRule="auto"/>
      </w:pPr>
      <w:r>
        <w:separator/>
      </w:r>
    </w:p>
  </w:endnote>
  <w:endnote w:type="continuationSeparator" w:id="0">
    <w:p w14:paraId="5191409B" w14:textId="77777777" w:rsidR="005D4F22" w:rsidRDefault="005D4F22" w:rsidP="00243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470" w14:textId="77777777" w:rsidR="001712AD" w:rsidRDefault="001712AD" w:rsidP="009E6E0A">
    <w:pPr>
      <w:pStyle w:val="Fuzeile"/>
      <w:jc w:val="right"/>
      <w:rPr>
        <w:sz w:val="18"/>
        <w:szCs w:val="18"/>
        <w:lang w:val="de-DE"/>
      </w:rPr>
    </w:pPr>
  </w:p>
  <w:p w14:paraId="51A6C2A0" w14:textId="177B15D8" w:rsidR="009E6E0A" w:rsidRPr="00BA3E79" w:rsidRDefault="000F6835" w:rsidP="009E6E0A">
    <w:pPr>
      <w:pStyle w:val="Fuzeile"/>
      <w:jc w:val="right"/>
      <w:rPr>
        <w:sz w:val="18"/>
        <w:szCs w:val="18"/>
        <w:lang w:val="fr-CH"/>
      </w:rPr>
    </w:pPr>
    <w:r w:rsidRPr="00BA3E79">
      <w:rPr>
        <w:sz w:val="18"/>
        <w:szCs w:val="18"/>
        <w:lang w:val="fr-CH"/>
      </w:rPr>
      <w:t>Convention sur les prestations</w:t>
    </w:r>
    <w:r w:rsidR="009E6E0A" w:rsidRPr="00BA3E79">
      <w:rPr>
        <w:sz w:val="18"/>
        <w:szCs w:val="18"/>
        <w:lang w:val="fr-CH"/>
      </w:rPr>
      <w:t xml:space="preserve"> [XXX </w:t>
    </w:r>
    <w:r w:rsidRPr="00BA3E79">
      <w:rPr>
        <w:sz w:val="18"/>
        <w:szCs w:val="18"/>
        <w:lang w:val="fr-CH"/>
      </w:rPr>
      <w:t>SA</w:t>
    </w:r>
    <w:r w:rsidR="009E6E0A" w:rsidRPr="00BA3E79">
      <w:rPr>
        <w:sz w:val="18"/>
        <w:szCs w:val="18"/>
        <w:lang w:val="fr-CH"/>
      </w:rPr>
      <w:t xml:space="preserve">] </w:t>
    </w:r>
    <w:r w:rsidR="002445D6" w:rsidRPr="00BA3E79">
      <w:rPr>
        <w:sz w:val="18"/>
        <w:szCs w:val="18"/>
        <w:lang w:val="fr-CH"/>
      </w:rPr>
      <w:t>2025</w:t>
    </w:r>
    <w:r w:rsidR="00BA3E79" w:rsidRPr="00BA3E79">
      <w:rPr>
        <w:sz w:val="18"/>
        <w:szCs w:val="18"/>
        <w:lang w:val="fr-CH"/>
      </w:rPr>
      <w:t xml:space="preserve"> à </w:t>
    </w:r>
    <w:r w:rsidR="002445D6" w:rsidRPr="00BA3E79">
      <w:rPr>
        <w:sz w:val="18"/>
        <w:szCs w:val="18"/>
        <w:lang w:val="fr-CH"/>
      </w:rPr>
      <w:t>2028</w:t>
    </w:r>
    <w:r w:rsidR="009E6E0A" w:rsidRPr="00BA3E79">
      <w:rPr>
        <w:sz w:val="18"/>
        <w:szCs w:val="18"/>
        <w:lang w:val="fr-CH"/>
      </w:rPr>
      <w:t xml:space="preserve"> </w:t>
    </w:r>
    <w:r w:rsidR="009E6E0A" w:rsidRPr="00BA3E79">
      <w:rPr>
        <w:sz w:val="18"/>
        <w:szCs w:val="18"/>
        <w:lang w:val="fr-CH"/>
      </w:rPr>
      <w:tab/>
    </w:r>
    <w:r w:rsidR="009E6E0A" w:rsidRPr="00BA3E79">
      <w:rPr>
        <w:sz w:val="18"/>
        <w:szCs w:val="18"/>
        <w:lang w:val="fr-CH"/>
      </w:rPr>
      <w:tab/>
    </w:r>
    <w:r w:rsidR="00BA3E79">
      <w:rPr>
        <w:sz w:val="18"/>
        <w:szCs w:val="18"/>
        <w:lang w:val="fr-CH"/>
      </w:rPr>
      <w:t>Page</w:t>
    </w:r>
    <w:r w:rsidR="009E6E0A" w:rsidRPr="00BA3E79">
      <w:rPr>
        <w:sz w:val="18"/>
        <w:szCs w:val="18"/>
        <w:lang w:val="fr-CH"/>
      </w:rPr>
      <w:t xml:space="preserve"> </w:t>
    </w:r>
    <w:r w:rsidR="009E6E0A" w:rsidRPr="00BA3E79">
      <w:rPr>
        <w:sz w:val="18"/>
        <w:szCs w:val="18"/>
        <w:lang w:val="fr-CH"/>
      </w:rPr>
      <w:fldChar w:fldCharType="begin"/>
    </w:r>
    <w:r w:rsidR="009E6E0A" w:rsidRPr="00BA3E79">
      <w:rPr>
        <w:sz w:val="18"/>
        <w:szCs w:val="18"/>
        <w:lang w:val="fr-CH"/>
      </w:rPr>
      <w:instrText xml:space="preserve"> PAGE </w:instrText>
    </w:r>
    <w:r w:rsidR="009E6E0A" w:rsidRPr="00BA3E79">
      <w:rPr>
        <w:sz w:val="18"/>
        <w:szCs w:val="18"/>
        <w:lang w:val="fr-CH"/>
      </w:rPr>
      <w:fldChar w:fldCharType="separate"/>
    </w:r>
    <w:r w:rsidR="002B0356" w:rsidRPr="00BA3E79">
      <w:rPr>
        <w:sz w:val="18"/>
        <w:szCs w:val="18"/>
        <w:lang w:val="fr-CH"/>
      </w:rPr>
      <w:t>16</w:t>
    </w:r>
    <w:r w:rsidR="009E6E0A" w:rsidRPr="00BA3E79">
      <w:rPr>
        <w:sz w:val="18"/>
        <w:szCs w:val="18"/>
        <w:lang w:val="fr-CH"/>
      </w:rPr>
      <w:fldChar w:fldCharType="end"/>
    </w:r>
    <w:r w:rsidR="009E6E0A" w:rsidRPr="00BA3E79">
      <w:rPr>
        <w:sz w:val="18"/>
        <w:szCs w:val="18"/>
        <w:lang w:val="fr-CH"/>
      </w:rPr>
      <w:t xml:space="preserve"> </w:t>
    </w:r>
    <w:r w:rsidR="00BA3E79">
      <w:rPr>
        <w:sz w:val="18"/>
        <w:szCs w:val="18"/>
        <w:lang w:val="fr-CH"/>
      </w:rPr>
      <w:t>de</w:t>
    </w:r>
    <w:r w:rsidR="009E6E0A" w:rsidRPr="00BA3E79">
      <w:rPr>
        <w:sz w:val="18"/>
        <w:szCs w:val="18"/>
        <w:lang w:val="fr-CH"/>
      </w:rPr>
      <w:t xml:space="preserve"> </w:t>
    </w:r>
    <w:r w:rsidR="009E6E0A" w:rsidRPr="00BA3E79">
      <w:rPr>
        <w:sz w:val="18"/>
        <w:szCs w:val="18"/>
        <w:lang w:val="fr-CH"/>
      </w:rPr>
      <w:fldChar w:fldCharType="begin"/>
    </w:r>
    <w:r w:rsidR="009E6E0A" w:rsidRPr="00BA3E79">
      <w:rPr>
        <w:sz w:val="18"/>
        <w:szCs w:val="18"/>
        <w:lang w:val="fr-CH"/>
      </w:rPr>
      <w:instrText xml:space="preserve"> NUMPAGES  </w:instrText>
    </w:r>
    <w:r w:rsidR="009E6E0A" w:rsidRPr="00BA3E79">
      <w:rPr>
        <w:sz w:val="18"/>
        <w:szCs w:val="18"/>
        <w:lang w:val="fr-CH"/>
      </w:rPr>
      <w:fldChar w:fldCharType="separate"/>
    </w:r>
    <w:r w:rsidR="002B0356" w:rsidRPr="00BA3E79">
      <w:rPr>
        <w:sz w:val="18"/>
        <w:szCs w:val="18"/>
        <w:lang w:val="fr-CH"/>
      </w:rPr>
      <w:t>16</w:t>
    </w:r>
    <w:r w:rsidR="009E6E0A" w:rsidRPr="00BA3E79">
      <w:rPr>
        <w:sz w:val="18"/>
        <w:szCs w:val="18"/>
        <w:lang w:val="fr-CH"/>
      </w:rPr>
      <w:fldChar w:fldCharType="end"/>
    </w:r>
  </w:p>
  <w:p w14:paraId="05854A5F" w14:textId="77777777" w:rsidR="009E6E0A" w:rsidRPr="008D722D" w:rsidRDefault="009E6E0A" w:rsidP="009E6E0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D7E3" w14:textId="77777777" w:rsidR="005D4F22" w:rsidRDefault="005D4F22" w:rsidP="00243EBA">
      <w:pPr>
        <w:spacing w:line="240" w:lineRule="auto"/>
      </w:pPr>
      <w:r>
        <w:separator/>
      </w:r>
    </w:p>
  </w:footnote>
  <w:footnote w:type="continuationSeparator" w:id="0">
    <w:p w14:paraId="7B67E12A" w14:textId="77777777" w:rsidR="005D4F22" w:rsidRDefault="005D4F22" w:rsidP="00243EBA">
      <w:pPr>
        <w:spacing w:line="240" w:lineRule="auto"/>
      </w:pPr>
      <w:r>
        <w:continuationSeparator/>
      </w:r>
    </w:p>
  </w:footnote>
  <w:footnote w:id="1">
    <w:p w14:paraId="342A0C86" w14:textId="3505DFA0" w:rsidR="00646D0B" w:rsidRPr="00646D0B" w:rsidRDefault="00646D0B">
      <w:pPr>
        <w:pStyle w:val="Funotentext"/>
        <w:rPr>
          <w:lang w:val="fr-CH"/>
        </w:rPr>
      </w:pPr>
      <w:r w:rsidRPr="00646D0B">
        <w:rPr>
          <w:rStyle w:val="Funotenzeichen"/>
          <w:lang w:val="fr-CH"/>
        </w:rPr>
        <w:footnoteRef/>
      </w:r>
      <w:r w:rsidRPr="00646D0B">
        <w:rPr>
          <w:lang w:val="fr-CH"/>
        </w:rPr>
        <w:t xml:space="preserve"> L’OCEC sera abrogée à partir du 1</w:t>
      </w:r>
      <w:r w:rsidRPr="00646D0B">
        <w:rPr>
          <w:vertAlign w:val="superscript"/>
          <w:lang w:val="fr-CH"/>
        </w:rPr>
        <w:t>er</w:t>
      </w:r>
      <w:r w:rsidRPr="00646D0B">
        <w:rPr>
          <w:lang w:val="fr-CH"/>
        </w:rPr>
        <w:t xml:space="preserve"> janvier 2025. La plupart des articles pertinents seront repris tels quels dans l’OCPF </w:t>
      </w:r>
      <w:r w:rsidR="005F3A2E">
        <w:rPr>
          <w:lang w:val="fr-CH"/>
        </w:rPr>
        <w:t>et</w:t>
      </w:r>
      <w:r w:rsidRPr="00646D0B">
        <w:rPr>
          <w:lang w:val="fr-CH"/>
        </w:rPr>
        <w:t xml:space="preserve"> l’OITRV.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820BAA" w:rsidRPr="005E36FC" w14:paraId="469F4DF4" w14:textId="77777777" w:rsidTr="00E17CF2">
      <w:trPr>
        <w:cantSplit/>
        <w:trHeight w:hRule="exact" w:val="1980"/>
      </w:trPr>
      <w:tc>
        <w:tcPr>
          <w:tcW w:w="4848" w:type="dxa"/>
        </w:tcPr>
        <w:p w14:paraId="6723440E" w14:textId="77777777" w:rsidR="00820BAA" w:rsidRDefault="00820BAA" w:rsidP="00820BAA">
          <w:pPr>
            <w:pStyle w:val="Logo"/>
          </w:pPr>
          <w:r>
            <w:drawing>
              <wp:inline distT="0" distB="0" distL="0" distR="0" wp14:anchorId="136E5320" wp14:editId="0A77ACD9">
                <wp:extent cx="2066925" cy="657225"/>
                <wp:effectExtent l="19050" t="0" r="9525" b="0"/>
                <wp:docPr id="1" name="Bild 3"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sw"/>
                        <pic:cNvPicPr>
                          <a:picLocks noChangeAspect="1" noChangeArrowheads="1"/>
                        </pic:cNvPicPr>
                      </pic:nvPicPr>
                      <pic:blipFill>
                        <a:blip r:embed="rId1"/>
                        <a:srcRect/>
                        <a:stretch>
                          <a:fillRect/>
                        </a:stretch>
                      </pic:blipFill>
                      <pic:spPr bwMode="auto">
                        <a:xfrm>
                          <a:off x="0" y="0"/>
                          <a:ext cx="2066925" cy="657225"/>
                        </a:xfrm>
                        <a:prstGeom prst="rect">
                          <a:avLst/>
                        </a:prstGeom>
                        <a:noFill/>
                        <a:ln w="9525">
                          <a:noFill/>
                          <a:miter lim="800000"/>
                          <a:headEnd/>
                          <a:tailEnd/>
                        </a:ln>
                      </pic:spPr>
                    </pic:pic>
                  </a:graphicData>
                </a:graphic>
              </wp:inline>
            </w:drawing>
          </w:r>
        </w:p>
        <w:p w14:paraId="4EF6AFB1" w14:textId="77777777" w:rsidR="00820BAA" w:rsidRDefault="00820BAA" w:rsidP="00820BAA">
          <w:pPr>
            <w:pStyle w:val="Logo"/>
          </w:pPr>
        </w:p>
      </w:tc>
      <w:tc>
        <w:tcPr>
          <w:tcW w:w="4961" w:type="dxa"/>
        </w:tcPr>
        <w:p w14:paraId="72240597" w14:textId="47B3B143" w:rsidR="00BA3E79" w:rsidRDefault="00BA3E79" w:rsidP="00820BAA">
          <w:pPr>
            <w:pStyle w:val="KopfDept"/>
            <w:rPr>
              <w:noProof w:val="0"/>
              <w:lang w:val="fr-CH"/>
            </w:rPr>
          </w:pPr>
          <w:r w:rsidRPr="00BA3E79">
            <w:rPr>
              <w:noProof w:val="0"/>
              <w:lang w:val="fr-CH"/>
            </w:rPr>
            <w:t>Département fédéral de l</w:t>
          </w:r>
          <w:r>
            <w:rPr>
              <w:noProof w:val="0"/>
              <w:lang w:val="fr-CH"/>
            </w:rPr>
            <w:t>’</w:t>
          </w:r>
          <w:r w:rsidRPr="00BA3E79">
            <w:rPr>
              <w:noProof w:val="0"/>
              <w:lang w:val="fr-CH"/>
            </w:rPr>
            <w:t xml:space="preserve">environnement, des transports, </w:t>
          </w:r>
        </w:p>
        <w:p w14:paraId="68BEF4A3" w14:textId="13342329" w:rsidR="00820BAA" w:rsidRPr="00BA3E79" w:rsidRDefault="00BA3E79" w:rsidP="00820BAA">
          <w:pPr>
            <w:pStyle w:val="KopfDept"/>
            <w:rPr>
              <w:noProof w:val="0"/>
              <w:lang w:val="fr-CH"/>
            </w:rPr>
          </w:pPr>
          <w:proofErr w:type="gramStart"/>
          <w:r w:rsidRPr="00BA3E79">
            <w:rPr>
              <w:noProof w:val="0"/>
              <w:lang w:val="fr-CH"/>
            </w:rPr>
            <w:t>de</w:t>
          </w:r>
          <w:proofErr w:type="gramEnd"/>
          <w:r w:rsidRPr="00BA3E79">
            <w:rPr>
              <w:noProof w:val="0"/>
              <w:lang w:val="fr-CH"/>
            </w:rPr>
            <w:t xml:space="preserve"> l</w:t>
          </w:r>
          <w:r>
            <w:rPr>
              <w:noProof w:val="0"/>
              <w:lang w:val="fr-CH"/>
            </w:rPr>
            <w:t>’</w:t>
          </w:r>
          <w:r w:rsidRPr="00BA3E79">
            <w:rPr>
              <w:noProof w:val="0"/>
              <w:lang w:val="fr-CH"/>
            </w:rPr>
            <w:t>énergie et de la communication</w:t>
          </w:r>
          <w:r>
            <w:rPr>
              <w:noProof w:val="0"/>
              <w:lang w:val="fr-CH"/>
            </w:rPr>
            <w:t xml:space="preserve"> DETEC</w:t>
          </w:r>
          <w:r w:rsidRPr="00BA3E79">
            <w:rPr>
              <w:noProof w:val="0"/>
              <w:lang w:val="fr-CH"/>
            </w:rPr>
            <w:t xml:space="preserve"> </w:t>
          </w:r>
        </w:p>
        <w:p w14:paraId="00BBFB2B" w14:textId="641D9DED" w:rsidR="00820BAA" w:rsidRPr="008D722D" w:rsidRDefault="00BA3E79" w:rsidP="00820BAA">
          <w:pPr>
            <w:pStyle w:val="KopfFett"/>
            <w:rPr>
              <w:lang w:val="fr-CH"/>
            </w:rPr>
          </w:pPr>
          <w:r w:rsidRPr="00BA3E79">
            <w:rPr>
              <w:noProof w:val="0"/>
              <w:lang w:val="fr-CH"/>
            </w:rPr>
            <w:t>Office fédéral des transports OFT</w:t>
          </w:r>
          <w:r w:rsidR="00820BAA" w:rsidRPr="00BA3E79">
            <w:rPr>
              <w:noProof w:val="0"/>
              <w:lang w:val="fr-CH"/>
            </w:rPr>
            <w:br/>
          </w:r>
        </w:p>
      </w:tc>
    </w:tr>
  </w:tbl>
  <w:p w14:paraId="687E5F5C" w14:textId="77777777" w:rsidR="00820BAA" w:rsidRPr="008D722D" w:rsidRDefault="00820BAA">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A33"/>
    <w:multiLevelType w:val="hybridMultilevel"/>
    <w:tmpl w:val="504286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F72462"/>
    <w:multiLevelType w:val="hybridMultilevel"/>
    <w:tmpl w:val="B43CF484"/>
    <w:lvl w:ilvl="0" w:tplc="52D62EE0">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0D227D7B"/>
    <w:multiLevelType w:val="hybridMultilevel"/>
    <w:tmpl w:val="5F9A2840"/>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3" w15:restartNumberingAfterBreak="0">
    <w:nsid w:val="340B4E57"/>
    <w:multiLevelType w:val="hybridMultilevel"/>
    <w:tmpl w:val="58AC35E0"/>
    <w:lvl w:ilvl="0" w:tplc="48D6C1B8">
      <w:start w:val="4"/>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4F14F1D"/>
    <w:multiLevelType w:val="hybridMultilevel"/>
    <w:tmpl w:val="361AEC4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1151693"/>
    <w:multiLevelType w:val="multilevel"/>
    <w:tmpl w:val="941EB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C2F70D0"/>
    <w:multiLevelType w:val="hybridMultilevel"/>
    <w:tmpl w:val="5E647C92"/>
    <w:lvl w:ilvl="0" w:tplc="4880D4EC">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E125E4A"/>
    <w:multiLevelType w:val="hybridMultilevel"/>
    <w:tmpl w:val="1116CD54"/>
    <w:lvl w:ilvl="0" w:tplc="08070019">
      <w:start w:val="1"/>
      <w:numFmt w:val="lowerLetter"/>
      <w:lvlText w:val="%1."/>
      <w:lvlJc w:val="left"/>
      <w:pPr>
        <w:ind w:left="570" w:hanging="360"/>
      </w:pPr>
    </w:lvl>
    <w:lvl w:ilvl="1" w:tplc="08070019" w:tentative="1">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abstractNum w:abstractNumId="8" w15:restartNumberingAfterBreak="0">
    <w:nsid w:val="57DF4E7C"/>
    <w:multiLevelType w:val="hybridMultilevel"/>
    <w:tmpl w:val="759071F6"/>
    <w:lvl w:ilvl="0" w:tplc="FF145648">
      <w:start w:val="1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58822A0B"/>
    <w:multiLevelType w:val="hybridMultilevel"/>
    <w:tmpl w:val="5858ADE8"/>
    <w:lvl w:ilvl="0" w:tplc="100C0017">
      <w:start w:val="1"/>
      <w:numFmt w:val="lowerLetter"/>
      <w:lvlText w:val="%1)"/>
      <w:lvlJc w:val="left"/>
      <w:pPr>
        <w:ind w:left="930" w:hanging="360"/>
      </w:pPr>
    </w:lvl>
    <w:lvl w:ilvl="1" w:tplc="100C0019" w:tentative="1">
      <w:start w:val="1"/>
      <w:numFmt w:val="lowerLetter"/>
      <w:lvlText w:val="%2."/>
      <w:lvlJc w:val="left"/>
      <w:pPr>
        <w:ind w:left="1650" w:hanging="360"/>
      </w:pPr>
    </w:lvl>
    <w:lvl w:ilvl="2" w:tplc="100C001B" w:tentative="1">
      <w:start w:val="1"/>
      <w:numFmt w:val="lowerRoman"/>
      <w:lvlText w:val="%3."/>
      <w:lvlJc w:val="right"/>
      <w:pPr>
        <w:ind w:left="2370" w:hanging="180"/>
      </w:pPr>
    </w:lvl>
    <w:lvl w:ilvl="3" w:tplc="100C000F" w:tentative="1">
      <w:start w:val="1"/>
      <w:numFmt w:val="decimal"/>
      <w:lvlText w:val="%4."/>
      <w:lvlJc w:val="left"/>
      <w:pPr>
        <w:ind w:left="3090" w:hanging="360"/>
      </w:pPr>
    </w:lvl>
    <w:lvl w:ilvl="4" w:tplc="100C0019" w:tentative="1">
      <w:start w:val="1"/>
      <w:numFmt w:val="lowerLetter"/>
      <w:lvlText w:val="%5."/>
      <w:lvlJc w:val="left"/>
      <w:pPr>
        <w:ind w:left="3810" w:hanging="360"/>
      </w:pPr>
    </w:lvl>
    <w:lvl w:ilvl="5" w:tplc="100C001B" w:tentative="1">
      <w:start w:val="1"/>
      <w:numFmt w:val="lowerRoman"/>
      <w:lvlText w:val="%6."/>
      <w:lvlJc w:val="right"/>
      <w:pPr>
        <w:ind w:left="4530" w:hanging="180"/>
      </w:pPr>
    </w:lvl>
    <w:lvl w:ilvl="6" w:tplc="100C000F" w:tentative="1">
      <w:start w:val="1"/>
      <w:numFmt w:val="decimal"/>
      <w:lvlText w:val="%7."/>
      <w:lvlJc w:val="left"/>
      <w:pPr>
        <w:ind w:left="5250" w:hanging="360"/>
      </w:pPr>
    </w:lvl>
    <w:lvl w:ilvl="7" w:tplc="100C0019" w:tentative="1">
      <w:start w:val="1"/>
      <w:numFmt w:val="lowerLetter"/>
      <w:lvlText w:val="%8."/>
      <w:lvlJc w:val="left"/>
      <w:pPr>
        <w:ind w:left="5970" w:hanging="360"/>
      </w:pPr>
    </w:lvl>
    <w:lvl w:ilvl="8" w:tplc="100C001B" w:tentative="1">
      <w:start w:val="1"/>
      <w:numFmt w:val="lowerRoman"/>
      <w:lvlText w:val="%9."/>
      <w:lvlJc w:val="right"/>
      <w:pPr>
        <w:ind w:left="6690" w:hanging="180"/>
      </w:pPr>
    </w:lvl>
  </w:abstractNum>
  <w:abstractNum w:abstractNumId="10" w15:restartNumberingAfterBreak="0">
    <w:nsid w:val="67FB54F3"/>
    <w:multiLevelType w:val="hybridMultilevel"/>
    <w:tmpl w:val="E7BC93D4"/>
    <w:lvl w:ilvl="0" w:tplc="49A46682">
      <w:start w:val="4"/>
      <w:numFmt w:val="lowerLetter"/>
      <w:lvlText w:val="%1."/>
      <w:lvlJc w:val="left"/>
      <w:pPr>
        <w:ind w:left="930" w:hanging="360"/>
      </w:pPr>
      <w:rPr>
        <w:rFonts w:hint="default"/>
      </w:rPr>
    </w:lvl>
    <w:lvl w:ilvl="1" w:tplc="100C0019" w:tentative="1">
      <w:start w:val="1"/>
      <w:numFmt w:val="lowerLetter"/>
      <w:lvlText w:val="%2."/>
      <w:lvlJc w:val="left"/>
      <w:pPr>
        <w:ind w:left="1650" w:hanging="360"/>
      </w:pPr>
    </w:lvl>
    <w:lvl w:ilvl="2" w:tplc="100C001B" w:tentative="1">
      <w:start w:val="1"/>
      <w:numFmt w:val="lowerRoman"/>
      <w:lvlText w:val="%3."/>
      <w:lvlJc w:val="right"/>
      <w:pPr>
        <w:ind w:left="2370" w:hanging="180"/>
      </w:pPr>
    </w:lvl>
    <w:lvl w:ilvl="3" w:tplc="100C000F" w:tentative="1">
      <w:start w:val="1"/>
      <w:numFmt w:val="decimal"/>
      <w:lvlText w:val="%4."/>
      <w:lvlJc w:val="left"/>
      <w:pPr>
        <w:ind w:left="3090" w:hanging="360"/>
      </w:pPr>
    </w:lvl>
    <w:lvl w:ilvl="4" w:tplc="100C0019" w:tentative="1">
      <w:start w:val="1"/>
      <w:numFmt w:val="lowerLetter"/>
      <w:lvlText w:val="%5."/>
      <w:lvlJc w:val="left"/>
      <w:pPr>
        <w:ind w:left="3810" w:hanging="360"/>
      </w:pPr>
    </w:lvl>
    <w:lvl w:ilvl="5" w:tplc="100C001B" w:tentative="1">
      <w:start w:val="1"/>
      <w:numFmt w:val="lowerRoman"/>
      <w:lvlText w:val="%6."/>
      <w:lvlJc w:val="right"/>
      <w:pPr>
        <w:ind w:left="4530" w:hanging="180"/>
      </w:pPr>
    </w:lvl>
    <w:lvl w:ilvl="6" w:tplc="100C000F" w:tentative="1">
      <w:start w:val="1"/>
      <w:numFmt w:val="decimal"/>
      <w:lvlText w:val="%7."/>
      <w:lvlJc w:val="left"/>
      <w:pPr>
        <w:ind w:left="5250" w:hanging="360"/>
      </w:pPr>
    </w:lvl>
    <w:lvl w:ilvl="7" w:tplc="100C0019" w:tentative="1">
      <w:start w:val="1"/>
      <w:numFmt w:val="lowerLetter"/>
      <w:lvlText w:val="%8."/>
      <w:lvlJc w:val="left"/>
      <w:pPr>
        <w:ind w:left="5970" w:hanging="360"/>
      </w:pPr>
    </w:lvl>
    <w:lvl w:ilvl="8" w:tplc="100C001B" w:tentative="1">
      <w:start w:val="1"/>
      <w:numFmt w:val="lowerRoman"/>
      <w:lvlText w:val="%9."/>
      <w:lvlJc w:val="right"/>
      <w:pPr>
        <w:ind w:left="6690" w:hanging="180"/>
      </w:pPr>
    </w:lvl>
  </w:abstractNum>
  <w:abstractNum w:abstractNumId="11" w15:restartNumberingAfterBreak="0">
    <w:nsid w:val="6AEA52D0"/>
    <w:multiLevelType w:val="hybridMultilevel"/>
    <w:tmpl w:val="1D6AB082"/>
    <w:lvl w:ilvl="0" w:tplc="4880D4EC">
      <w:start w:val="1"/>
      <w:numFmt w:val="lowerLetter"/>
      <w:lvlText w:val="%1."/>
      <w:lvlJc w:val="left"/>
      <w:pPr>
        <w:ind w:left="570" w:hanging="360"/>
      </w:pPr>
      <w:rPr>
        <w:rFonts w:hint="default"/>
      </w:rPr>
    </w:lvl>
    <w:lvl w:ilvl="1" w:tplc="08070019">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num w:numId="1">
    <w:abstractNumId w:val="11"/>
  </w:num>
  <w:num w:numId="2">
    <w:abstractNumId w:val="6"/>
  </w:num>
  <w:num w:numId="3">
    <w:abstractNumId w:val="7"/>
  </w:num>
  <w:num w:numId="4">
    <w:abstractNumId w:val="0"/>
  </w:num>
  <w:num w:numId="5">
    <w:abstractNumId w:val="5"/>
    <w:lvlOverride w:ilvl="0">
      <w:startOverride w:val="1"/>
    </w:lvlOverride>
  </w:num>
  <w:num w:numId="6">
    <w:abstractNumId w:val="2"/>
  </w:num>
  <w:num w:numId="7">
    <w:abstractNumId w:val="9"/>
  </w:num>
  <w:num w:numId="8">
    <w:abstractNumId w:val="10"/>
  </w:num>
  <w:num w:numId="9">
    <w:abstractNumId w:val="3"/>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BA"/>
    <w:rsid w:val="00000423"/>
    <w:rsid w:val="0000677E"/>
    <w:rsid w:val="00012546"/>
    <w:rsid w:val="00016D53"/>
    <w:rsid w:val="00026499"/>
    <w:rsid w:val="000272C8"/>
    <w:rsid w:val="000455CC"/>
    <w:rsid w:val="000468BD"/>
    <w:rsid w:val="00057396"/>
    <w:rsid w:val="00057FF5"/>
    <w:rsid w:val="000612E9"/>
    <w:rsid w:val="0006222F"/>
    <w:rsid w:val="00065BA2"/>
    <w:rsid w:val="0007032C"/>
    <w:rsid w:val="00071C93"/>
    <w:rsid w:val="000738BC"/>
    <w:rsid w:val="00073CD5"/>
    <w:rsid w:val="000754D5"/>
    <w:rsid w:val="00080478"/>
    <w:rsid w:val="00085EDD"/>
    <w:rsid w:val="00096097"/>
    <w:rsid w:val="00096347"/>
    <w:rsid w:val="000969CB"/>
    <w:rsid w:val="000A0102"/>
    <w:rsid w:val="000A6CA8"/>
    <w:rsid w:val="000B17CA"/>
    <w:rsid w:val="000B4343"/>
    <w:rsid w:val="000B7CAB"/>
    <w:rsid w:val="000C7501"/>
    <w:rsid w:val="000D044F"/>
    <w:rsid w:val="000E0E08"/>
    <w:rsid w:val="000E128F"/>
    <w:rsid w:val="000F5CC1"/>
    <w:rsid w:val="000F6835"/>
    <w:rsid w:val="001028CE"/>
    <w:rsid w:val="001052F1"/>
    <w:rsid w:val="001111BE"/>
    <w:rsid w:val="001143F8"/>
    <w:rsid w:val="00115C61"/>
    <w:rsid w:val="00122015"/>
    <w:rsid w:val="001226A3"/>
    <w:rsid w:val="0013197A"/>
    <w:rsid w:val="00147F0C"/>
    <w:rsid w:val="00152960"/>
    <w:rsid w:val="00156220"/>
    <w:rsid w:val="0016036C"/>
    <w:rsid w:val="00163B11"/>
    <w:rsid w:val="00167114"/>
    <w:rsid w:val="00170057"/>
    <w:rsid w:val="001712AD"/>
    <w:rsid w:val="001743A5"/>
    <w:rsid w:val="00180528"/>
    <w:rsid w:val="001A08F0"/>
    <w:rsid w:val="001A0E42"/>
    <w:rsid w:val="001A1B1C"/>
    <w:rsid w:val="001A3FFD"/>
    <w:rsid w:val="001A51C3"/>
    <w:rsid w:val="001A5FFF"/>
    <w:rsid w:val="001B06DC"/>
    <w:rsid w:val="001B26EA"/>
    <w:rsid w:val="001C1838"/>
    <w:rsid w:val="001C51C8"/>
    <w:rsid w:val="001C7BB8"/>
    <w:rsid w:val="001D4471"/>
    <w:rsid w:val="001D4946"/>
    <w:rsid w:val="001E300A"/>
    <w:rsid w:val="001F1DB7"/>
    <w:rsid w:val="001F2349"/>
    <w:rsid w:val="00203053"/>
    <w:rsid w:val="00207CB6"/>
    <w:rsid w:val="00213BA4"/>
    <w:rsid w:val="002145CE"/>
    <w:rsid w:val="002150C2"/>
    <w:rsid w:val="0022422E"/>
    <w:rsid w:val="00232059"/>
    <w:rsid w:val="00243EBA"/>
    <w:rsid w:val="002445D6"/>
    <w:rsid w:val="00244927"/>
    <w:rsid w:val="00246DDF"/>
    <w:rsid w:val="00251019"/>
    <w:rsid w:val="00254EF2"/>
    <w:rsid w:val="00256B1B"/>
    <w:rsid w:val="00262784"/>
    <w:rsid w:val="002713CE"/>
    <w:rsid w:val="00280298"/>
    <w:rsid w:val="00281BD3"/>
    <w:rsid w:val="00286038"/>
    <w:rsid w:val="00292FE8"/>
    <w:rsid w:val="00296709"/>
    <w:rsid w:val="002A6429"/>
    <w:rsid w:val="002A6DDE"/>
    <w:rsid w:val="002A76B7"/>
    <w:rsid w:val="002B0356"/>
    <w:rsid w:val="002B0E5E"/>
    <w:rsid w:val="002B238D"/>
    <w:rsid w:val="002B39E6"/>
    <w:rsid w:val="002C6D21"/>
    <w:rsid w:val="002D2349"/>
    <w:rsid w:val="002D5530"/>
    <w:rsid w:val="002E2110"/>
    <w:rsid w:val="002E45FD"/>
    <w:rsid w:val="002E6FEF"/>
    <w:rsid w:val="002F586D"/>
    <w:rsid w:val="00304A6D"/>
    <w:rsid w:val="00306650"/>
    <w:rsid w:val="003107B9"/>
    <w:rsid w:val="00311CE6"/>
    <w:rsid w:val="003136BE"/>
    <w:rsid w:val="00313E73"/>
    <w:rsid w:val="00313F23"/>
    <w:rsid w:val="00316573"/>
    <w:rsid w:val="00320B61"/>
    <w:rsid w:val="003217B1"/>
    <w:rsid w:val="00323C04"/>
    <w:rsid w:val="00326298"/>
    <w:rsid w:val="003312AF"/>
    <w:rsid w:val="003367BB"/>
    <w:rsid w:val="0034268E"/>
    <w:rsid w:val="00347259"/>
    <w:rsid w:val="003510C0"/>
    <w:rsid w:val="00353A84"/>
    <w:rsid w:val="00356362"/>
    <w:rsid w:val="0035662D"/>
    <w:rsid w:val="00357136"/>
    <w:rsid w:val="003657DF"/>
    <w:rsid w:val="00371CE9"/>
    <w:rsid w:val="00371E87"/>
    <w:rsid w:val="00377436"/>
    <w:rsid w:val="003B4413"/>
    <w:rsid w:val="003C73DF"/>
    <w:rsid w:val="003D0E06"/>
    <w:rsid w:val="003E5452"/>
    <w:rsid w:val="003E7310"/>
    <w:rsid w:val="003F282E"/>
    <w:rsid w:val="003F41C6"/>
    <w:rsid w:val="003F66F8"/>
    <w:rsid w:val="00423175"/>
    <w:rsid w:val="00424F5E"/>
    <w:rsid w:val="00431573"/>
    <w:rsid w:val="00434DE0"/>
    <w:rsid w:val="0044070F"/>
    <w:rsid w:val="004423B7"/>
    <w:rsid w:val="00444EBE"/>
    <w:rsid w:val="0044610D"/>
    <w:rsid w:val="004702EB"/>
    <w:rsid w:val="00482C00"/>
    <w:rsid w:val="00492544"/>
    <w:rsid w:val="00492B3C"/>
    <w:rsid w:val="00497682"/>
    <w:rsid w:val="004A30B9"/>
    <w:rsid w:val="004B15B6"/>
    <w:rsid w:val="004C06A0"/>
    <w:rsid w:val="004C441B"/>
    <w:rsid w:val="004D2869"/>
    <w:rsid w:val="004E0125"/>
    <w:rsid w:val="004E67B0"/>
    <w:rsid w:val="004E704C"/>
    <w:rsid w:val="004F58CB"/>
    <w:rsid w:val="00513E29"/>
    <w:rsid w:val="005142A8"/>
    <w:rsid w:val="0052203C"/>
    <w:rsid w:val="005308A2"/>
    <w:rsid w:val="0053568B"/>
    <w:rsid w:val="005433AA"/>
    <w:rsid w:val="00544ABD"/>
    <w:rsid w:val="005453A0"/>
    <w:rsid w:val="00545E1D"/>
    <w:rsid w:val="00552D70"/>
    <w:rsid w:val="00554436"/>
    <w:rsid w:val="00555FA8"/>
    <w:rsid w:val="00556B95"/>
    <w:rsid w:val="005576D1"/>
    <w:rsid w:val="00564C44"/>
    <w:rsid w:val="00572C09"/>
    <w:rsid w:val="00576D31"/>
    <w:rsid w:val="00577575"/>
    <w:rsid w:val="00580FFE"/>
    <w:rsid w:val="00591F0F"/>
    <w:rsid w:val="00594E08"/>
    <w:rsid w:val="005A09DF"/>
    <w:rsid w:val="005A4423"/>
    <w:rsid w:val="005B221D"/>
    <w:rsid w:val="005C7BEE"/>
    <w:rsid w:val="005D4F22"/>
    <w:rsid w:val="005E36FC"/>
    <w:rsid w:val="005F12C6"/>
    <w:rsid w:val="005F202B"/>
    <w:rsid w:val="005F3A2E"/>
    <w:rsid w:val="005F4994"/>
    <w:rsid w:val="005F4A67"/>
    <w:rsid w:val="005F74F8"/>
    <w:rsid w:val="005F7E52"/>
    <w:rsid w:val="00604BAF"/>
    <w:rsid w:val="006078D2"/>
    <w:rsid w:val="00611023"/>
    <w:rsid w:val="00617DDF"/>
    <w:rsid w:val="00617E6D"/>
    <w:rsid w:val="00620F66"/>
    <w:rsid w:val="006235A5"/>
    <w:rsid w:val="00635486"/>
    <w:rsid w:val="00637190"/>
    <w:rsid w:val="00646D0B"/>
    <w:rsid w:val="006577EA"/>
    <w:rsid w:val="00657F27"/>
    <w:rsid w:val="0067131E"/>
    <w:rsid w:val="006724FC"/>
    <w:rsid w:val="00677994"/>
    <w:rsid w:val="00682DEB"/>
    <w:rsid w:val="00683E31"/>
    <w:rsid w:val="006856BF"/>
    <w:rsid w:val="006857A7"/>
    <w:rsid w:val="0068646B"/>
    <w:rsid w:val="006866A1"/>
    <w:rsid w:val="00692C79"/>
    <w:rsid w:val="00694826"/>
    <w:rsid w:val="006A5AB2"/>
    <w:rsid w:val="006A6E89"/>
    <w:rsid w:val="006A7C78"/>
    <w:rsid w:val="006B0EB7"/>
    <w:rsid w:val="006B3C3D"/>
    <w:rsid w:val="006D0F5F"/>
    <w:rsid w:val="006D26A5"/>
    <w:rsid w:val="006E1EB9"/>
    <w:rsid w:val="006E34E0"/>
    <w:rsid w:val="006E4758"/>
    <w:rsid w:val="006F0291"/>
    <w:rsid w:val="006F3BA0"/>
    <w:rsid w:val="00711B3E"/>
    <w:rsid w:val="0071244E"/>
    <w:rsid w:val="007142ED"/>
    <w:rsid w:val="00715EED"/>
    <w:rsid w:val="007248B8"/>
    <w:rsid w:val="00727A39"/>
    <w:rsid w:val="007314A6"/>
    <w:rsid w:val="007327F1"/>
    <w:rsid w:val="0073690B"/>
    <w:rsid w:val="00746DB2"/>
    <w:rsid w:val="00751720"/>
    <w:rsid w:val="00753A11"/>
    <w:rsid w:val="00771280"/>
    <w:rsid w:val="007749D4"/>
    <w:rsid w:val="00787394"/>
    <w:rsid w:val="0079076C"/>
    <w:rsid w:val="007925D1"/>
    <w:rsid w:val="007A4FC7"/>
    <w:rsid w:val="007B0993"/>
    <w:rsid w:val="007B299A"/>
    <w:rsid w:val="007B605F"/>
    <w:rsid w:val="007C4FD7"/>
    <w:rsid w:val="007D4069"/>
    <w:rsid w:val="007D5510"/>
    <w:rsid w:val="007D6F22"/>
    <w:rsid w:val="007E5C2A"/>
    <w:rsid w:val="007F1464"/>
    <w:rsid w:val="007F1D37"/>
    <w:rsid w:val="007F4129"/>
    <w:rsid w:val="007F7275"/>
    <w:rsid w:val="00820BAA"/>
    <w:rsid w:val="00826A74"/>
    <w:rsid w:val="008304DA"/>
    <w:rsid w:val="00833D51"/>
    <w:rsid w:val="008343C1"/>
    <w:rsid w:val="008348DF"/>
    <w:rsid w:val="00834E95"/>
    <w:rsid w:val="008409AA"/>
    <w:rsid w:val="00843605"/>
    <w:rsid w:val="00843C4C"/>
    <w:rsid w:val="00843CB3"/>
    <w:rsid w:val="008457EB"/>
    <w:rsid w:val="00850B8B"/>
    <w:rsid w:val="00852B24"/>
    <w:rsid w:val="00853B2B"/>
    <w:rsid w:val="00861036"/>
    <w:rsid w:val="008611F2"/>
    <w:rsid w:val="00870F7E"/>
    <w:rsid w:val="0087527D"/>
    <w:rsid w:val="00876631"/>
    <w:rsid w:val="008777FF"/>
    <w:rsid w:val="00880CA8"/>
    <w:rsid w:val="008815C4"/>
    <w:rsid w:val="008842D9"/>
    <w:rsid w:val="00893988"/>
    <w:rsid w:val="008A3BEF"/>
    <w:rsid w:val="008A7805"/>
    <w:rsid w:val="008B1146"/>
    <w:rsid w:val="008B1505"/>
    <w:rsid w:val="008C0D3C"/>
    <w:rsid w:val="008C345D"/>
    <w:rsid w:val="008C3E26"/>
    <w:rsid w:val="008C481B"/>
    <w:rsid w:val="008D480D"/>
    <w:rsid w:val="008D55D5"/>
    <w:rsid w:val="008D722D"/>
    <w:rsid w:val="008E0135"/>
    <w:rsid w:val="008E2E2D"/>
    <w:rsid w:val="008E39FF"/>
    <w:rsid w:val="008E706A"/>
    <w:rsid w:val="008F0C2A"/>
    <w:rsid w:val="00900300"/>
    <w:rsid w:val="0090067D"/>
    <w:rsid w:val="00907998"/>
    <w:rsid w:val="00907BAB"/>
    <w:rsid w:val="009114EB"/>
    <w:rsid w:val="00914C8E"/>
    <w:rsid w:val="00921D67"/>
    <w:rsid w:val="00932794"/>
    <w:rsid w:val="00942ED8"/>
    <w:rsid w:val="00952A49"/>
    <w:rsid w:val="009542BB"/>
    <w:rsid w:val="0095654E"/>
    <w:rsid w:val="009653B2"/>
    <w:rsid w:val="00974285"/>
    <w:rsid w:val="0097564D"/>
    <w:rsid w:val="00986403"/>
    <w:rsid w:val="00991708"/>
    <w:rsid w:val="00991F52"/>
    <w:rsid w:val="00992672"/>
    <w:rsid w:val="00995882"/>
    <w:rsid w:val="00997600"/>
    <w:rsid w:val="009A1F96"/>
    <w:rsid w:val="009A3C9D"/>
    <w:rsid w:val="009B0524"/>
    <w:rsid w:val="009B4F2A"/>
    <w:rsid w:val="009B51C7"/>
    <w:rsid w:val="009B78C1"/>
    <w:rsid w:val="009C1D07"/>
    <w:rsid w:val="009C3466"/>
    <w:rsid w:val="009C5F51"/>
    <w:rsid w:val="009D18AC"/>
    <w:rsid w:val="009D51F2"/>
    <w:rsid w:val="009D77C2"/>
    <w:rsid w:val="009E2AEB"/>
    <w:rsid w:val="009E3453"/>
    <w:rsid w:val="009E679E"/>
    <w:rsid w:val="009E6E0A"/>
    <w:rsid w:val="009F2D5B"/>
    <w:rsid w:val="009F4F40"/>
    <w:rsid w:val="00A0133D"/>
    <w:rsid w:val="00A05574"/>
    <w:rsid w:val="00A116A6"/>
    <w:rsid w:val="00A13A5B"/>
    <w:rsid w:val="00A20F50"/>
    <w:rsid w:val="00A23F68"/>
    <w:rsid w:val="00A30075"/>
    <w:rsid w:val="00A3574A"/>
    <w:rsid w:val="00A376BC"/>
    <w:rsid w:val="00A54246"/>
    <w:rsid w:val="00A614FB"/>
    <w:rsid w:val="00A61CB9"/>
    <w:rsid w:val="00A85316"/>
    <w:rsid w:val="00A95EFB"/>
    <w:rsid w:val="00A976F7"/>
    <w:rsid w:val="00AA1EB9"/>
    <w:rsid w:val="00AB721F"/>
    <w:rsid w:val="00AB7F64"/>
    <w:rsid w:val="00AC007E"/>
    <w:rsid w:val="00AC3773"/>
    <w:rsid w:val="00AD04EA"/>
    <w:rsid w:val="00AD2742"/>
    <w:rsid w:val="00AD3EA1"/>
    <w:rsid w:val="00AD45FD"/>
    <w:rsid w:val="00AE0285"/>
    <w:rsid w:val="00AE12EA"/>
    <w:rsid w:val="00AE26F3"/>
    <w:rsid w:val="00AE32E1"/>
    <w:rsid w:val="00AF0B4D"/>
    <w:rsid w:val="00B0616A"/>
    <w:rsid w:val="00B06209"/>
    <w:rsid w:val="00B1296E"/>
    <w:rsid w:val="00B12FAD"/>
    <w:rsid w:val="00B14F11"/>
    <w:rsid w:val="00B213C3"/>
    <w:rsid w:val="00B23B0F"/>
    <w:rsid w:val="00B25EF6"/>
    <w:rsid w:val="00B35461"/>
    <w:rsid w:val="00B36080"/>
    <w:rsid w:val="00B40FA9"/>
    <w:rsid w:val="00B43C10"/>
    <w:rsid w:val="00B4670D"/>
    <w:rsid w:val="00B51A5E"/>
    <w:rsid w:val="00B52C72"/>
    <w:rsid w:val="00B5444B"/>
    <w:rsid w:val="00B565B6"/>
    <w:rsid w:val="00B6679B"/>
    <w:rsid w:val="00B771A0"/>
    <w:rsid w:val="00B80C37"/>
    <w:rsid w:val="00B83713"/>
    <w:rsid w:val="00B86A15"/>
    <w:rsid w:val="00B87C69"/>
    <w:rsid w:val="00B956F7"/>
    <w:rsid w:val="00BA34B0"/>
    <w:rsid w:val="00BA3E79"/>
    <w:rsid w:val="00BB4F04"/>
    <w:rsid w:val="00BB7FAB"/>
    <w:rsid w:val="00BD7637"/>
    <w:rsid w:val="00BE19F8"/>
    <w:rsid w:val="00BE2C95"/>
    <w:rsid w:val="00BE312B"/>
    <w:rsid w:val="00BE5D1E"/>
    <w:rsid w:val="00BF20AA"/>
    <w:rsid w:val="00BF2A85"/>
    <w:rsid w:val="00BF5802"/>
    <w:rsid w:val="00C0204D"/>
    <w:rsid w:val="00C034E0"/>
    <w:rsid w:val="00C050AA"/>
    <w:rsid w:val="00C067CB"/>
    <w:rsid w:val="00C147B0"/>
    <w:rsid w:val="00C14B84"/>
    <w:rsid w:val="00C17E78"/>
    <w:rsid w:val="00C20962"/>
    <w:rsid w:val="00C24F55"/>
    <w:rsid w:val="00C33B49"/>
    <w:rsid w:val="00C34285"/>
    <w:rsid w:val="00C3755A"/>
    <w:rsid w:val="00C408FE"/>
    <w:rsid w:val="00C4158B"/>
    <w:rsid w:val="00C42EEE"/>
    <w:rsid w:val="00C46423"/>
    <w:rsid w:val="00C536D2"/>
    <w:rsid w:val="00C54092"/>
    <w:rsid w:val="00C548AC"/>
    <w:rsid w:val="00C63696"/>
    <w:rsid w:val="00C63A41"/>
    <w:rsid w:val="00C6678F"/>
    <w:rsid w:val="00C7302F"/>
    <w:rsid w:val="00C7307B"/>
    <w:rsid w:val="00C74636"/>
    <w:rsid w:val="00C80122"/>
    <w:rsid w:val="00C87350"/>
    <w:rsid w:val="00C90D8A"/>
    <w:rsid w:val="00C96FCF"/>
    <w:rsid w:val="00CB14D2"/>
    <w:rsid w:val="00CB31E7"/>
    <w:rsid w:val="00CB33B1"/>
    <w:rsid w:val="00CB4808"/>
    <w:rsid w:val="00CC5ED9"/>
    <w:rsid w:val="00CD5ADD"/>
    <w:rsid w:val="00CD5DB8"/>
    <w:rsid w:val="00CD6B4C"/>
    <w:rsid w:val="00CE4E67"/>
    <w:rsid w:val="00CE625C"/>
    <w:rsid w:val="00CF1751"/>
    <w:rsid w:val="00CF409E"/>
    <w:rsid w:val="00CF41C1"/>
    <w:rsid w:val="00CF42E1"/>
    <w:rsid w:val="00D003AA"/>
    <w:rsid w:val="00D01CD6"/>
    <w:rsid w:val="00D02ECD"/>
    <w:rsid w:val="00D035A8"/>
    <w:rsid w:val="00D06563"/>
    <w:rsid w:val="00D126A2"/>
    <w:rsid w:val="00D17B1A"/>
    <w:rsid w:val="00D239D3"/>
    <w:rsid w:val="00D273DA"/>
    <w:rsid w:val="00D2749A"/>
    <w:rsid w:val="00D2781B"/>
    <w:rsid w:val="00D27876"/>
    <w:rsid w:val="00D27C36"/>
    <w:rsid w:val="00D50DD0"/>
    <w:rsid w:val="00D52657"/>
    <w:rsid w:val="00D56377"/>
    <w:rsid w:val="00D61766"/>
    <w:rsid w:val="00D64314"/>
    <w:rsid w:val="00D74651"/>
    <w:rsid w:val="00D84C41"/>
    <w:rsid w:val="00D856AC"/>
    <w:rsid w:val="00D8799A"/>
    <w:rsid w:val="00DA11A5"/>
    <w:rsid w:val="00DA1C90"/>
    <w:rsid w:val="00DA2869"/>
    <w:rsid w:val="00DA58F7"/>
    <w:rsid w:val="00DA6DBC"/>
    <w:rsid w:val="00DB36A4"/>
    <w:rsid w:val="00DB4662"/>
    <w:rsid w:val="00DC7146"/>
    <w:rsid w:val="00DD258C"/>
    <w:rsid w:val="00DD36AC"/>
    <w:rsid w:val="00DD4061"/>
    <w:rsid w:val="00DD6FAA"/>
    <w:rsid w:val="00DE0C1C"/>
    <w:rsid w:val="00DE6D9E"/>
    <w:rsid w:val="00DE6E21"/>
    <w:rsid w:val="00DF4B7A"/>
    <w:rsid w:val="00DF53A5"/>
    <w:rsid w:val="00DF62C5"/>
    <w:rsid w:val="00DF7EDA"/>
    <w:rsid w:val="00E1098E"/>
    <w:rsid w:val="00E146B8"/>
    <w:rsid w:val="00E14CD8"/>
    <w:rsid w:val="00E1695A"/>
    <w:rsid w:val="00E23294"/>
    <w:rsid w:val="00E247A9"/>
    <w:rsid w:val="00E312B3"/>
    <w:rsid w:val="00E37646"/>
    <w:rsid w:val="00E37949"/>
    <w:rsid w:val="00E37972"/>
    <w:rsid w:val="00E4385B"/>
    <w:rsid w:val="00E50568"/>
    <w:rsid w:val="00E533F7"/>
    <w:rsid w:val="00E65B9A"/>
    <w:rsid w:val="00E80EEA"/>
    <w:rsid w:val="00EA12FA"/>
    <w:rsid w:val="00ED07C6"/>
    <w:rsid w:val="00ED32DB"/>
    <w:rsid w:val="00EE0F64"/>
    <w:rsid w:val="00EE1215"/>
    <w:rsid w:val="00EE6CF2"/>
    <w:rsid w:val="00EE6EBA"/>
    <w:rsid w:val="00EE7A3B"/>
    <w:rsid w:val="00EF4D4E"/>
    <w:rsid w:val="00F00CD0"/>
    <w:rsid w:val="00F02022"/>
    <w:rsid w:val="00F032C9"/>
    <w:rsid w:val="00F14659"/>
    <w:rsid w:val="00F14755"/>
    <w:rsid w:val="00F239D6"/>
    <w:rsid w:val="00F251C2"/>
    <w:rsid w:val="00F25AB3"/>
    <w:rsid w:val="00F26298"/>
    <w:rsid w:val="00F26E9F"/>
    <w:rsid w:val="00F27EB7"/>
    <w:rsid w:val="00F27F24"/>
    <w:rsid w:val="00F318ED"/>
    <w:rsid w:val="00F32A2C"/>
    <w:rsid w:val="00F33CC5"/>
    <w:rsid w:val="00F361B0"/>
    <w:rsid w:val="00F37073"/>
    <w:rsid w:val="00F37BCB"/>
    <w:rsid w:val="00F46579"/>
    <w:rsid w:val="00F5260E"/>
    <w:rsid w:val="00F547EE"/>
    <w:rsid w:val="00F561F3"/>
    <w:rsid w:val="00F67DF9"/>
    <w:rsid w:val="00F71168"/>
    <w:rsid w:val="00F76568"/>
    <w:rsid w:val="00F766FF"/>
    <w:rsid w:val="00F81DB9"/>
    <w:rsid w:val="00F92951"/>
    <w:rsid w:val="00F97F72"/>
    <w:rsid w:val="00FA365E"/>
    <w:rsid w:val="00FB0D91"/>
    <w:rsid w:val="00FB3288"/>
    <w:rsid w:val="00FD1CA8"/>
    <w:rsid w:val="00FE1F35"/>
    <w:rsid w:val="00FE2CC7"/>
    <w:rsid w:val="00FE2DA7"/>
    <w:rsid w:val="00FE5DA1"/>
    <w:rsid w:val="00FE745A"/>
    <w:rsid w:val="00FF37AD"/>
    <w:rsid w:val="00FF53BB"/>
    <w:rsid w:val="00FF76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E6373"/>
  <w15:chartTrackingRefBased/>
  <w15:docId w15:val="{027E262F-A085-471A-813D-FA73DA0E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sz w:val="20"/>
    </w:rPr>
  </w:style>
  <w:style w:type="paragraph" w:styleId="berschrift9">
    <w:name w:val="heading 9"/>
    <w:basedOn w:val="Standard"/>
    <w:next w:val="Standard"/>
    <w:link w:val="berschrift9Zchn"/>
    <w:uiPriority w:val="9"/>
    <w:semiHidden/>
    <w:unhideWhenUsed/>
    <w:qFormat/>
    <w:rsid w:val="00243E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kurs">
    <w:name w:val="Absatz kurs"/>
    <w:basedOn w:val="Standard"/>
    <w:rsid w:val="00243EBA"/>
    <w:pPr>
      <w:spacing w:before="80" w:line="200" w:lineRule="exact"/>
      <w:jc w:val="both"/>
    </w:pPr>
    <w:rPr>
      <w:rFonts w:ascii="Times New Roman" w:eastAsia="Times New Roman" w:hAnsi="Times New Roman" w:cs="Times New Roman"/>
      <w:i/>
      <w:sz w:val="18"/>
      <w:szCs w:val="20"/>
      <w:lang w:eastAsia="de-DE"/>
    </w:rPr>
  </w:style>
  <w:style w:type="paragraph" w:customStyle="1" w:styleId="Abstand18pt">
    <w:name w:val="Abstand /18pt"/>
    <w:rsid w:val="00243EBA"/>
    <w:pPr>
      <w:spacing w:before="340" w:after="0" w:line="20" w:lineRule="exact"/>
    </w:pPr>
    <w:rPr>
      <w:rFonts w:ascii="Times New Roman" w:eastAsia="Times New Roman" w:hAnsi="Times New Roman" w:cs="Times New Roman"/>
      <w:b/>
      <w:bCs/>
      <w:color w:val="008000"/>
      <w:sz w:val="290"/>
      <w:szCs w:val="290"/>
      <w:lang w:eastAsia="de-DE"/>
    </w:rPr>
  </w:style>
  <w:style w:type="paragraph" w:customStyle="1" w:styleId="BotschaftLinie">
    <w:name w:val="Botschaft Linie"/>
    <w:next w:val="Anrede"/>
    <w:rsid w:val="00243EBA"/>
    <w:pPr>
      <w:pBdr>
        <w:top w:val="single" w:sz="6" w:space="4" w:color="auto"/>
      </w:pBdr>
      <w:spacing w:before="200" w:after="0" w:line="200" w:lineRule="exact"/>
      <w:jc w:val="both"/>
    </w:pPr>
    <w:rPr>
      <w:rFonts w:ascii="Times New Roman" w:eastAsia="Times New Roman" w:hAnsi="Times New Roman" w:cs="Times New Roman"/>
      <w:sz w:val="18"/>
      <w:szCs w:val="20"/>
      <w:lang w:eastAsia="de-DE"/>
    </w:rPr>
  </w:style>
  <w:style w:type="paragraph" w:customStyle="1" w:styleId="TitelAnhang">
    <w:name w:val="Titel Anhang"/>
    <w:rsid w:val="00243EBA"/>
    <w:pPr>
      <w:keepNext/>
      <w:keepLines/>
      <w:suppressAutoHyphens/>
      <w:spacing w:before="240" w:line="220" w:lineRule="exact"/>
    </w:pPr>
    <w:rPr>
      <w:rFonts w:ascii="Times New Roman" w:eastAsia="Times New Roman" w:hAnsi="Times New Roman" w:cs="Times New Roman"/>
      <w:b/>
      <w:szCs w:val="20"/>
      <w:lang w:eastAsia="de-DE"/>
    </w:rPr>
  </w:style>
  <w:style w:type="paragraph" w:customStyle="1" w:styleId="Absatz">
    <w:name w:val="Absatz"/>
    <w:aliases w:val="Abstand 12 Pt."/>
    <w:link w:val="AbsatzZchn"/>
    <w:rsid w:val="00243EBA"/>
    <w:pPr>
      <w:spacing w:before="80" w:after="0" w:line="200" w:lineRule="exact"/>
      <w:jc w:val="both"/>
    </w:pPr>
    <w:rPr>
      <w:rFonts w:ascii="Times New Roman" w:eastAsia="Times New Roman" w:hAnsi="Times New Roman" w:cs="Times New Roman"/>
      <w:sz w:val="18"/>
      <w:szCs w:val="20"/>
      <w:lang w:eastAsia="de-DE"/>
    </w:rPr>
  </w:style>
  <w:style w:type="character" w:customStyle="1" w:styleId="AbsatzZchn">
    <w:name w:val="Absatz Zchn"/>
    <w:link w:val="Absatz"/>
    <w:rsid w:val="00243EBA"/>
    <w:rPr>
      <w:rFonts w:ascii="Times New Roman" w:eastAsia="Times New Roman" w:hAnsi="Times New Roman" w:cs="Times New Roman"/>
      <w:sz w:val="18"/>
      <w:szCs w:val="20"/>
      <w:lang w:eastAsia="de-DE"/>
    </w:rPr>
  </w:style>
  <w:style w:type="paragraph" w:styleId="Anrede">
    <w:name w:val="Salutation"/>
    <w:basedOn w:val="Standard"/>
    <w:next w:val="Standard"/>
    <w:link w:val="AnredeZchn"/>
    <w:uiPriority w:val="99"/>
    <w:semiHidden/>
    <w:unhideWhenUsed/>
    <w:rsid w:val="00243EBA"/>
  </w:style>
  <w:style w:type="character" w:customStyle="1" w:styleId="AnredeZchn">
    <w:name w:val="Anrede Zchn"/>
    <w:basedOn w:val="Absatz-Standardschriftart"/>
    <w:link w:val="Anrede"/>
    <w:uiPriority w:val="99"/>
    <w:semiHidden/>
    <w:rsid w:val="00243EBA"/>
    <w:rPr>
      <w:rFonts w:ascii="Arial" w:hAnsi="Arial" w:cs="Arial"/>
      <w:sz w:val="20"/>
    </w:rPr>
  </w:style>
  <w:style w:type="paragraph" w:styleId="Kopfzeile">
    <w:name w:val="header"/>
    <w:basedOn w:val="Standard"/>
    <w:link w:val="KopfzeileZchn"/>
    <w:uiPriority w:val="99"/>
    <w:unhideWhenUsed/>
    <w:rsid w:val="00243EB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43EBA"/>
    <w:rPr>
      <w:rFonts w:ascii="Arial" w:hAnsi="Arial" w:cs="Arial"/>
      <w:sz w:val="20"/>
    </w:rPr>
  </w:style>
  <w:style w:type="paragraph" w:styleId="Fuzeile">
    <w:name w:val="footer"/>
    <w:basedOn w:val="Standard"/>
    <w:link w:val="FuzeileZchn"/>
    <w:uiPriority w:val="99"/>
    <w:unhideWhenUsed/>
    <w:rsid w:val="00243EB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43EBA"/>
    <w:rPr>
      <w:rFonts w:ascii="Arial" w:hAnsi="Arial" w:cs="Arial"/>
      <w:sz w:val="20"/>
    </w:rPr>
  </w:style>
  <w:style w:type="paragraph" w:customStyle="1" w:styleId="KopfFett">
    <w:name w:val="KopfFett"/>
    <w:basedOn w:val="Kopfzeile"/>
    <w:next w:val="Kopfzeile"/>
    <w:rsid w:val="00243EBA"/>
    <w:pPr>
      <w:tabs>
        <w:tab w:val="clear" w:pos="4536"/>
        <w:tab w:val="clear" w:pos="9072"/>
      </w:tabs>
      <w:suppressAutoHyphens/>
      <w:spacing w:line="200" w:lineRule="exact"/>
    </w:pPr>
    <w:rPr>
      <w:rFonts w:eastAsia="Times New Roman" w:cs="Times New Roman"/>
      <w:b/>
      <w:noProof/>
      <w:sz w:val="15"/>
      <w:szCs w:val="20"/>
      <w:lang w:eastAsia="de-CH"/>
    </w:rPr>
  </w:style>
  <w:style w:type="paragraph" w:customStyle="1" w:styleId="KopfDept">
    <w:name w:val="KopfDept"/>
    <w:basedOn w:val="Kopfzeile"/>
    <w:next w:val="KopfFett"/>
    <w:rsid w:val="00243EBA"/>
    <w:pPr>
      <w:tabs>
        <w:tab w:val="clear" w:pos="4536"/>
        <w:tab w:val="clear" w:pos="9072"/>
      </w:tabs>
      <w:suppressAutoHyphens/>
      <w:spacing w:after="100" w:line="200" w:lineRule="exact"/>
      <w:contextualSpacing/>
    </w:pPr>
    <w:rPr>
      <w:rFonts w:eastAsia="Times New Roman" w:cs="Times New Roman"/>
      <w:noProof/>
      <w:sz w:val="15"/>
      <w:szCs w:val="20"/>
      <w:lang w:eastAsia="de-CH"/>
    </w:rPr>
  </w:style>
  <w:style w:type="paragraph" w:customStyle="1" w:styleId="Logo">
    <w:name w:val="Logo"/>
    <w:rsid w:val="00243EBA"/>
    <w:pPr>
      <w:spacing w:after="0" w:line="240" w:lineRule="auto"/>
    </w:pPr>
    <w:rPr>
      <w:rFonts w:ascii="Arial" w:eastAsia="Times New Roman" w:hAnsi="Arial" w:cs="Times New Roman"/>
      <w:noProof/>
      <w:sz w:val="15"/>
      <w:szCs w:val="20"/>
      <w:lang w:eastAsia="de-CH"/>
    </w:rPr>
  </w:style>
  <w:style w:type="paragraph" w:customStyle="1" w:styleId="Tababstandnach">
    <w:name w:val="Tababstand nach"/>
    <w:basedOn w:val="Standard"/>
    <w:rsid w:val="00243EBA"/>
    <w:pPr>
      <w:spacing w:line="80" w:lineRule="exact"/>
    </w:pPr>
    <w:rPr>
      <w:rFonts w:ascii="Times New Roman" w:eastAsia="Times New Roman" w:hAnsi="Times New Roman" w:cs="Times New Roman"/>
      <w:sz w:val="8"/>
      <w:szCs w:val="20"/>
      <w:lang w:eastAsia="de-DE"/>
    </w:rPr>
  </w:style>
  <w:style w:type="paragraph" w:customStyle="1" w:styleId="Unterschriften1">
    <w:name w:val="Unterschriften 1"/>
    <w:basedOn w:val="Unterschriften"/>
    <w:rsid w:val="00243EBA"/>
    <w:pPr>
      <w:spacing w:before="480"/>
    </w:pPr>
  </w:style>
  <w:style w:type="paragraph" w:customStyle="1" w:styleId="Unterschriften">
    <w:name w:val="Unterschriften"/>
    <w:basedOn w:val="Standard"/>
    <w:rsid w:val="00243EBA"/>
    <w:pPr>
      <w:tabs>
        <w:tab w:val="left" w:pos="2807"/>
        <w:tab w:val="left" w:pos="3402"/>
        <w:tab w:val="right" w:pos="6096"/>
      </w:tabs>
      <w:suppressAutoHyphens/>
      <w:spacing w:before="120" w:line="200" w:lineRule="exact"/>
    </w:pPr>
    <w:rPr>
      <w:rFonts w:ascii="Times New Roman" w:eastAsia="Times New Roman" w:hAnsi="Times New Roman" w:cs="Times New Roman"/>
      <w:sz w:val="18"/>
      <w:szCs w:val="20"/>
      <w:lang w:eastAsia="de-DE"/>
    </w:rPr>
  </w:style>
  <w:style w:type="paragraph" w:customStyle="1" w:styleId="Struktur1">
    <w:name w:val="Struktur 1"/>
    <w:link w:val="Struktur1Char"/>
    <w:rsid w:val="00243EBA"/>
    <w:pPr>
      <w:tabs>
        <w:tab w:val="left" w:pos="567"/>
      </w:tabs>
      <w:spacing w:before="80" w:after="0" w:line="200" w:lineRule="exact"/>
      <w:ind w:left="567" w:hanging="357"/>
      <w:jc w:val="both"/>
    </w:pPr>
    <w:rPr>
      <w:rFonts w:ascii="Times New Roman" w:eastAsia="Times New Roman" w:hAnsi="Times New Roman" w:cs="Times New Roman"/>
      <w:sz w:val="18"/>
      <w:szCs w:val="20"/>
      <w:lang w:eastAsia="de-DE"/>
    </w:rPr>
  </w:style>
  <w:style w:type="character" w:customStyle="1" w:styleId="Struktur1Char">
    <w:name w:val="Struktur 1 Char"/>
    <w:link w:val="Struktur1"/>
    <w:rsid w:val="00243EBA"/>
    <w:rPr>
      <w:rFonts w:ascii="Times New Roman" w:eastAsia="Times New Roman" w:hAnsi="Times New Roman" w:cs="Times New Roman"/>
      <w:sz w:val="18"/>
      <w:szCs w:val="20"/>
      <w:lang w:eastAsia="de-DE"/>
    </w:rPr>
  </w:style>
  <w:style w:type="paragraph" w:customStyle="1" w:styleId="Struktur2">
    <w:name w:val="Struktur 2"/>
    <w:rsid w:val="00243EBA"/>
    <w:pPr>
      <w:tabs>
        <w:tab w:val="left" w:pos="924"/>
      </w:tabs>
      <w:spacing w:before="40" w:after="0" w:line="200" w:lineRule="exact"/>
      <w:ind w:left="924" w:hanging="357"/>
      <w:jc w:val="both"/>
    </w:pPr>
    <w:rPr>
      <w:rFonts w:ascii="Times New Roman" w:eastAsia="Times New Roman" w:hAnsi="Times New Roman" w:cs="Times New Roman"/>
      <w:sz w:val="18"/>
      <w:szCs w:val="20"/>
      <w:lang w:eastAsia="de-DE"/>
    </w:rPr>
  </w:style>
  <w:style w:type="paragraph" w:customStyle="1" w:styleId="Struktur3">
    <w:name w:val="Struktur 3"/>
    <w:rsid w:val="00243EBA"/>
    <w:pPr>
      <w:tabs>
        <w:tab w:val="left" w:pos="1281"/>
      </w:tabs>
      <w:spacing w:after="0" w:line="200" w:lineRule="exact"/>
      <w:ind w:left="1281" w:hanging="357"/>
      <w:jc w:val="both"/>
    </w:pPr>
    <w:rPr>
      <w:rFonts w:ascii="Times New Roman" w:eastAsia="Times New Roman" w:hAnsi="Times New Roman" w:cs="Times New Roman"/>
      <w:sz w:val="18"/>
      <w:szCs w:val="20"/>
      <w:lang w:eastAsia="de-DE"/>
    </w:rPr>
  </w:style>
  <w:style w:type="paragraph" w:customStyle="1" w:styleId="TabellenkopfN">
    <w:name w:val="Tabellenkopf N"/>
    <w:basedOn w:val="Standard"/>
    <w:rsid w:val="00243EBA"/>
    <w:pPr>
      <w:keepNext/>
      <w:spacing w:before="60" w:after="60" w:line="130" w:lineRule="exact"/>
    </w:pPr>
    <w:rPr>
      <w:rFonts w:ascii="Times New Roman" w:eastAsia="Times New Roman" w:hAnsi="Times New Roman" w:cs="Times New Roman"/>
      <w:sz w:val="13"/>
      <w:szCs w:val="20"/>
      <w:lang w:eastAsia="de-DE"/>
    </w:rPr>
  </w:style>
  <w:style w:type="paragraph" w:customStyle="1" w:styleId="TabellenkopfR-N">
    <w:name w:val="Tabellenkopf R-N"/>
    <w:basedOn w:val="Standard"/>
    <w:rsid w:val="00243EBA"/>
    <w:pPr>
      <w:keepNext/>
      <w:spacing w:before="60" w:after="60" w:line="130" w:lineRule="exact"/>
      <w:jc w:val="right"/>
    </w:pPr>
    <w:rPr>
      <w:rFonts w:ascii="Times New Roman" w:eastAsia="Times New Roman" w:hAnsi="Times New Roman" w:cs="Times New Roman"/>
      <w:sz w:val="13"/>
      <w:szCs w:val="20"/>
      <w:lang w:eastAsia="de-DE"/>
    </w:rPr>
  </w:style>
  <w:style w:type="paragraph" w:customStyle="1" w:styleId="Tabkrper09pt-fett">
    <w:name w:val="Tabkörper 0/9pt-fett"/>
    <w:basedOn w:val="Standard"/>
    <w:rsid w:val="00243EBA"/>
    <w:pPr>
      <w:spacing w:line="200" w:lineRule="exact"/>
    </w:pPr>
    <w:rPr>
      <w:rFonts w:ascii="Times New Roman" w:eastAsia="Times New Roman" w:hAnsi="Times New Roman" w:cs="Times New Roman"/>
      <w:b/>
      <w:sz w:val="18"/>
      <w:szCs w:val="20"/>
      <w:lang w:eastAsia="de-DE"/>
    </w:rPr>
  </w:style>
  <w:style w:type="paragraph" w:customStyle="1" w:styleId="Tabkrper49pt">
    <w:name w:val="Tabkörper 4/9pt"/>
    <w:basedOn w:val="Standard"/>
    <w:rsid w:val="00243EBA"/>
    <w:pPr>
      <w:spacing w:before="80" w:line="200" w:lineRule="exact"/>
    </w:pPr>
    <w:rPr>
      <w:rFonts w:ascii="Times New Roman" w:eastAsia="Times New Roman" w:hAnsi="Times New Roman" w:cs="Times New Roman"/>
      <w:sz w:val="18"/>
      <w:szCs w:val="20"/>
      <w:lang w:eastAsia="de-DE"/>
    </w:rPr>
  </w:style>
  <w:style w:type="paragraph" w:customStyle="1" w:styleId="TabkrperR09pt-kurs">
    <w:name w:val="Tabkörper R/0/9pt-kurs"/>
    <w:basedOn w:val="Standard"/>
    <w:rsid w:val="00243EBA"/>
    <w:pPr>
      <w:spacing w:line="200" w:lineRule="exact"/>
      <w:jc w:val="right"/>
    </w:pPr>
    <w:rPr>
      <w:rFonts w:ascii="Times New Roman" w:eastAsia="Times New Roman" w:hAnsi="Times New Roman" w:cs="Times New Roman"/>
      <w:i/>
      <w:sz w:val="18"/>
      <w:szCs w:val="20"/>
      <w:lang w:eastAsia="de-DE"/>
    </w:rPr>
  </w:style>
  <w:style w:type="paragraph" w:customStyle="1" w:styleId="Abstand4pt">
    <w:name w:val="Abstand /4pt"/>
    <w:basedOn w:val="Abstand18pt"/>
    <w:rsid w:val="00243EBA"/>
    <w:pPr>
      <w:spacing w:before="60"/>
    </w:pPr>
    <w:rPr>
      <w:color w:val="00FF00"/>
    </w:rPr>
  </w:style>
  <w:style w:type="paragraph" w:customStyle="1" w:styleId="TitelAnhKurztit">
    <w:name w:val="Titel Anh Kurztit"/>
    <w:rsid w:val="00243EBA"/>
    <w:pPr>
      <w:keepNext/>
      <w:keepLines/>
      <w:suppressAutoHyphens/>
      <w:spacing w:before="80" w:after="0" w:line="200" w:lineRule="exact"/>
    </w:pPr>
    <w:rPr>
      <w:rFonts w:ascii="Times New Roman" w:eastAsia="Times New Roman" w:hAnsi="Times New Roman" w:cs="Times New Roman"/>
      <w:b/>
      <w:sz w:val="20"/>
      <w:szCs w:val="20"/>
      <w:lang w:eastAsia="de-DE"/>
    </w:rPr>
  </w:style>
  <w:style w:type="paragraph" w:customStyle="1" w:styleId="Tabkrper49pt-fett">
    <w:name w:val="Tabkörper 4/9pt-fett"/>
    <w:basedOn w:val="Tabkrper49pt"/>
    <w:rsid w:val="00243EBA"/>
    <w:rPr>
      <w:b/>
    </w:rPr>
  </w:style>
  <w:style w:type="paragraph" w:customStyle="1" w:styleId="TitelArtikelKomm">
    <w:name w:val="Titel Artikel Komm"/>
    <w:basedOn w:val="berschrift9"/>
    <w:rsid w:val="00243EBA"/>
    <w:pPr>
      <w:tabs>
        <w:tab w:val="left" w:pos="1134"/>
      </w:tabs>
      <w:suppressAutoHyphens/>
      <w:spacing w:before="280" w:line="200" w:lineRule="exact"/>
      <w:ind w:left="1134" w:hanging="1134"/>
      <w:outlineLvl w:val="9"/>
    </w:pPr>
    <w:rPr>
      <w:rFonts w:ascii="Times New Roman" w:eastAsia="Times New Roman" w:hAnsi="Times New Roman" w:cs="Times New Roman"/>
      <w:iCs w:val="0"/>
      <w:color w:val="auto"/>
      <w:sz w:val="18"/>
      <w:szCs w:val="20"/>
      <w:lang w:eastAsia="de-DE"/>
    </w:rPr>
  </w:style>
  <w:style w:type="character" w:customStyle="1" w:styleId="berschrift9Zchn">
    <w:name w:val="Überschrift 9 Zchn"/>
    <w:basedOn w:val="Absatz-Standardschriftart"/>
    <w:link w:val="berschrift9"/>
    <w:uiPriority w:val="9"/>
    <w:semiHidden/>
    <w:rsid w:val="00243EBA"/>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qFormat/>
    <w:rsid w:val="00E80EEA"/>
    <w:pPr>
      <w:spacing w:line="480" w:lineRule="exact"/>
      <w:outlineLvl w:val="0"/>
    </w:pPr>
    <w:rPr>
      <w:rFonts w:eastAsia="Times New Roman"/>
      <w:b/>
      <w:bCs/>
      <w:kern w:val="28"/>
      <w:sz w:val="42"/>
      <w:szCs w:val="32"/>
      <w:lang w:eastAsia="de-CH"/>
    </w:rPr>
  </w:style>
  <w:style w:type="character" w:customStyle="1" w:styleId="TitelZchn">
    <w:name w:val="Titel Zchn"/>
    <w:basedOn w:val="Absatz-Standardschriftart"/>
    <w:link w:val="Titel"/>
    <w:rsid w:val="00E80EEA"/>
    <w:rPr>
      <w:rFonts w:ascii="Arial" w:eastAsia="Times New Roman" w:hAnsi="Arial" w:cs="Arial"/>
      <w:b/>
      <w:bCs/>
      <w:kern w:val="28"/>
      <w:sz w:val="42"/>
      <w:szCs w:val="32"/>
      <w:lang w:eastAsia="de-CH"/>
    </w:rPr>
  </w:style>
  <w:style w:type="paragraph" w:customStyle="1" w:styleId="LV-Text">
    <w:name w:val="LV-Text"/>
    <w:link w:val="LV-TextZchn"/>
    <w:qFormat/>
    <w:rsid w:val="00E80EEA"/>
    <w:pPr>
      <w:spacing w:before="20" w:after="200" w:line="264" w:lineRule="auto"/>
    </w:pPr>
    <w:rPr>
      <w:rFonts w:ascii="Arial" w:eastAsia="Calibri" w:hAnsi="Arial" w:cs="Arial"/>
    </w:rPr>
  </w:style>
  <w:style w:type="paragraph" w:customStyle="1" w:styleId="LV-Titel">
    <w:name w:val="LV-Titel"/>
    <w:basedOn w:val="Standard"/>
    <w:next w:val="LV-Text"/>
    <w:qFormat/>
    <w:rsid w:val="00E80EEA"/>
    <w:pPr>
      <w:spacing w:after="200" w:line="276" w:lineRule="auto"/>
    </w:pPr>
    <w:rPr>
      <w:rFonts w:eastAsia="Calibri"/>
      <w:b/>
      <w:sz w:val="28"/>
    </w:rPr>
  </w:style>
  <w:style w:type="paragraph" w:customStyle="1" w:styleId="Titelschrift13pt">
    <w:name w:val="Titelschrift13pt"/>
    <w:basedOn w:val="Standard"/>
    <w:rsid w:val="00E80EEA"/>
    <w:pPr>
      <w:tabs>
        <w:tab w:val="left" w:pos="1540"/>
      </w:tabs>
      <w:spacing w:line="240" w:lineRule="auto"/>
      <w:ind w:left="1559"/>
    </w:pPr>
    <w:rPr>
      <w:rFonts w:eastAsia="Times New Roman" w:cs="Times New Roman"/>
      <w:b/>
      <w:sz w:val="26"/>
      <w:szCs w:val="20"/>
      <w:lang w:eastAsia="de-DE"/>
    </w:rPr>
  </w:style>
  <w:style w:type="character" w:customStyle="1" w:styleId="LV-TextZchn">
    <w:name w:val="LV-Text Zchn"/>
    <w:basedOn w:val="Absatz-Standardschriftart"/>
    <w:link w:val="LV-Text"/>
    <w:rsid w:val="00E80EEA"/>
    <w:rPr>
      <w:rFonts w:ascii="Arial" w:eastAsia="Calibri" w:hAnsi="Arial" w:cs="Arial"/>
    </w:rPr>
  </w:style>
  <w:style w:type="paragraph" w:customStyle="1" w:styleId="Grundschrift">
    <w:name w:val="Grundschrift"/>
    <w:basedOn w:val="Standard"/>
    <w:rsid w:val="007B0993"/>
    <w:pPr>
      <w:tabs>
        <w:tab w:val="left" w:pos="0"/>
        <w:tab w:val="left" w:pos="1540"/>
      </w:tabs>
      <w:spacing w:before="120"/>
      <w:jc w:val="both"/>
    </w:pPr>
    <w:rPr>
      <w:rFonts w:eastAsia="Times New Roman" w:cs="Times New Roman"/>
      <w:szCs w:val="20"/>
      <w:lang w:eastAsia="de-DE"/>
    </w:rPr>
  </w:style>
  <w:style w:type="character" w:styleId="Kommentarzeichen">
    <w:name w:val="annotation reference"/>
    <w:basedOn w:val="Absatz-Standardschriftart"/>
    <w:uiPriority w:val="99"/>
    <w:semiHidden/>
    <w:unhideWhenUsed/>
    <w:rsid w:val="00F92951"/>
    <w:rPr>
      <w:sz w:val="16"/>
      <w:szCs w:val="16"/>
    </w:rPr>
  </w:style>
  <w:style w:type="paragraph" w:styleId="Kommentartext">
    <w:name w:val="annotation text"/>
    <w:basedOn w:val="Standard"/>
    <w:link w:val="KommentartextZchn"/>
    <w:uiPriority w:val="99"/>
    <w:unhideWhenUsed/>
    <w:rsid w:val="00F92951"/>
    <w:pPr>
      <w:spacing w:line="240" w:lineRule="auto"/>
    </w:pPr>
    <w:rPr>
      <w:szCs w:val="20"/>
    </w:rPr>
  </w:style>
  <w:style w:type="character" w:customStyle="1" w:styleId="KommentartextZchn">
    <w:name w:val="Kommentartext Zchn"/>
    <w:basedOn w:val="Absatz-Standardschriftart"/>
    <w:link w:val="Kommentartext"/>
    <w:uiPriority w:val="99"/>
    <w:rsid w:val="00F92951"/>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92951"/>
    <w:rPr>
      <w:b/>
      <w:bCs/>
    </w:rPr>
  </w:style>
  <w:style w:type="character" w:customStyle="1" w:styleId="KommentarthemaZchn">
    <w:name w:val="Kommentarthema Zchn"/>
    <w:basedOn w:val="KommentartextZchn"/>
    <w:link w:val="Kommentarthema"/>
    <w:uiPriority w:val="99"/>
    <w:semiHidden/>
    <w:rsid w:val="00F92951"/>
    <w:rPr>
      <w:rFonts w:ascii="Arial" w:hAnsi="Arial" w:cs="Arial"/>
      <w:b/>
      <w:bCs/>
      <w:sz w:val="20"/>
      <w:szCs w:val="20"/>
    </w:rPr>
  </w:style>
  <w:style w:type="paragraph" w:styleId="Sprechblasentext">
    <w:name w:val="Balloon Text"/>
    <w:basedOn w:val="Standard"/>
    <w:link w:val="SprechblasentextZchn"/>
    <w:uiPriority w:val="99"/>
    <w:semiHidden/>
    <w:unhideWhenUsed/>
    <w:rsid w:val="00F9295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2951"/>
    <w:rPr>
      <w:rFonts w:ascii="Segoe UI" w:hAnsi="Segoe UI" w:cs="Segoe UI"/>
      <w:sz w:val="18"/>
      <w:szCs w:val="18"/>
    </w:rPr>
  </w:style>
  <w:style w:type="paragraph" w:styleId="berarbeitung">
    <w:name w:val="Revision"/>
    <w:hidden/>
    <w:uiPriority w:val="99"/>
    <w:semiHidden/>
    <w:rsid w:val="000468BD"/>
    <w:pPr>
      <w:spacing w:after="0" w:line="240" w:lineRule="auto"/>
    </w:pPr>
    <w:rPr>
      <w:rFonts w:ascii="Arial" w:hAnsi="Arial" w:cs="Arial"/>
      <w:sz w:val="20"/>
    </w:rPr>
  </w:style>
  <w:style w:type="paragraph" w:styleId="Listenabsatz">
    <w:name w:val="List Paragraph"/>
    <w:basedOn w:val="Standard"/>
    <w:uiPriority w:val="34"/>
    <w:qFormat/>
    <w:rsid w:val="009E2AEB"/>
    <w:pPr>
      <w:ind w:left="720"/>
      <w:contextualSpacing/>
    </w:pPr>
  </w:style>
  <w:style w:type="character" w:styleId="Hyperlink">
    <w:name w:val="Hyperlink"/>
    <w:basedOn w:val="Absatz-Standardschriftart"/>
    <w:uiPriority w:val="99"/>
    <w:unhideWhenUsed/>
    <w:rsid w:val="009E2AEB"/>
    <w:rPr>
      <w:color w:val="0563C1" w:themeColor="hyperlink"/>
      <w:u w:val="single"/>
    </w:rPr>
  </w:style>
  <w:style w:type="paragraph" w:styleId="Funotentext">
    <w:name w:val="footnote text"/>
    <w:basedOn w:val="Standard"/>
    <w:link w:val="FunotentextZchn"/>
    <w:unhideWhenUsed/>
    <w:rsid w:val="00E146B8"/>
    <w:pPr>
      <w:spacing w:line="240" w:lineRule="auto"/>
    </w:pPr>
    <w:rPr>
      <w:szCs w:val="20"/>
    </w:rPr>
  </w:style>
  <w:style w:type="character" w:customStyle="1" w:styleId="FunotentextZchn">
    <w:name w:val="Fußnotentext Zchn"/>
    <w:basedOn w:val="Absatz-Standardschriftart"/>
    <w:link w:val="Funotentext"/>
    <w:rsid w:val="00E146B8"/>
    <w:rPr>
      <w:rFonts w:ascii="Arial" w:hAnsi="Arial" w:cs="Arial"/>
      <w:sz w:val="20"/>
      <w:szCs w:val="20"/>
    </w:rPr>
  </w:style>
  <w:style w:type="character" w:styleId="Funotenzeichen">
    <w:name w:val="footnote reference"/>
    <w:basedOn w:val="Absatz-Standardschriftart"/>
    <w:unhideWhenUsed/>
    <w:rsid w:val="00E146B8"/>
    <w:rPr>
      <w:vertAlign w:val="superscript"/>
    </w:rPr>
  </w:style>
  <w:style w:type="character" w:customStyle="1" w:styleId="AbsatzAbstand12PtChar">
    <w:name w:val="Absatz;Abstand 12 Pt. Char"/>
    <w:rsid w:val="00E4385B"/>
    <w:rPr>
      <w:rFonts w:ascii="Times New Roman" w:eastAsia="Times New Roman" w:hAnsi="Times New Roman" w:cs="Times New Roman"/>
      <w:sz w:val="18"/>
      <w:szCs w:val="20"/>
      <w:lang w:eastAsia="de-DE"/>
    </w:rPr>
  </w:style>
  <w:style w:type="paragraph" w:customStyle="1" w:styleId="TitelAnhrechts">
    <w:name w:val="Titel Anh rechts"/>
    <w:rsid w:val="008B1505"/>
    <w:pPr>
      <w:keepNext/>
      <w:keepLines/>
      <w:pageBreakBefore/>
      <w:suppressAutoHyphens/>
      <w:spacing w:after="0" w:line="200" w:lineRule="exact"/>
      <w:jc w:val="right"/>
    </w:pPr>
    <w:rPr>
      <w:rFonts w:ascii="Times New Roman" w:eastAsia="Times New Roman" w:hAnsi="Times New Roman" w:cs="Times New Roman"/>
      <w:i/>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4669">
      <w:bodyDiv w:val="1"/>
      <w:marLeft w:val="0"/>
      <w:marRight w:val="0"/>
      <w:marTop w:val="0"/>
      <w:marBottom w:val="0"/>
      <w:divBdr>
        <w:top w:val="none" w:sz="0" w:space="0" w:color="auto"/>
        <w:left w:val="none" w:sz="0" w:space="0" w:color="auto"/>
        <w:bottom w:val="none" w:sz="0" w:space="0" w:color="auto"/>
        <w:right w:val="none" w:sz="0" w:space="0" w:color="auto"/>
      </w:divBdr>
    </w:div>
    <w:div w:id="219558583">
      <w:bodyDiv w:val="1"/>
      <w:marLeft w:val="0"/>
      <w:marRight w:val="0"/>
      <w:marTop w:val="0"/>
      <w:marBottom w:val="0"/>
      <w:divBdr>
        <w:top w:val="none" w:sz="0" w:space="0" w:color="auto"/>
        <w:left w:val="none" w:sz="0" w:space="0" w:color="auto"/>
        <w:bottom w:val="none" w:sz="0" w:space="0" w:color="auto"/>
        <w:right w:val="none" w:sz="0" w:space="0" w:color="auto"/>
      </w:divBdr>
    </w:div>
    <w:div w:id="791170567">
      <w:bodyDiv w:val="1"/>
      <w:marLeft w:val="0"/>
      <w:marRight w:val="0"/>
      <w:marTop w:val="0"/>
      <w:marBottom w:val="0"/>
      <w:divBdr>
        <w:top w:val="none" w:sz="0" w:space="0" w:color="auto"/>
        <w:left w:val="none" w:sz="0" w:space="0" w:color="auto"/>
        <w:bottom w:val="none" w:sz="0" w:space="0" w:color="auto"/>
        <w:right w:val="none" w:sz="0" w:space="0" w:color="auto"/>
      </w:divBdr>
    </w:div>
    <w:div w:id="1015036021">
      <w:bodyDiv w:val="1"/>
      <w:marLeft w:val="0"/>
      <w:marRight w:val="0"/>
      <w:marTop w:val="0"/>
      <w:marBottom w:val="0"/>
      <w:divBdr>
        <w:top w:val="none" w:sz="0" w:space="0" w:color="auto"/>
        <w:left w:val="none" w:sz="0" w:space="0" w:color="auto"/>
        <w:bottom w:val="none" w:sz="0" w:space="0" w:color="auto"/>
        <w:right w:val="none" w:sz="0" w:space="0" w:color="auto"/>
      </w:divBdr>
    </w:div>
    <w:div w:id="1107508523">
      <w:bodyDiv w:val="1"/>
      <w:marLeft w:val="0"/>
      <w:marRight w:val="0"/>
      <w:marTop w:val="0"/>
      <w:marBottom w:val="0"/>
      <w:divBdr>
        <w:top w:val="none" w:sz="0" w:space="0" w:color="auto"/>
        <w:left w:val="none" w:sz="0" w:space="0" w:color="auto"/>
        <w:bottom w:val="none" w:sz="0" w:space="0" w:color="auto"/>
        <w:right w:val="none" w:sz="0" w:space="0" w:color="auto"/>
      </w:divBdr>
    </w:div>
    <w:div w:id="1118987463">
      <w:bodyDiv w:val="1"/>
      <w:marLeft w:val="0"/>
      <w:marRight w:val="0"/>
      <w:marTop w:val="0"/>
      <w:marBottom w:val="0"/>
      <w:divBdr>
        <w:top w:val="none" w:sz="0" w:space="0" w:color="auto"/>
        <w:left w:val="none" w:sz="0" w:space="0" w:color="auto"/>
        <w:bottom w:val="none" w:sz="0" w:space="0" w:color="auto"/>
        <w:right w:val="none" w:sz="0" w:space="0" w:color="auto"/>
      </w:divBdr>
    </w:div>
    <w:div w:id="19659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B578-3C42-4C7C-904A-7DC75B14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6865</Words>
  <Characters>43252</Characters>
  <Application>Microsoft Office Word</Application>
  <DocSecurity>0</DocSecurity>
  <Lines>360</Lines>
  <Paragraphs>100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 Fabian BAV</dc:creator>
  <cp:keywords/>
  <dc:description/>
  <cp:lastModifiedBy>Steck Monika BAV</cp:lastModifiedBy>
  <cp:revision>2</cp:revision>
  <dcterms:created xsi:type="dcterms:W3CDTF">2024-09-02T05:53:00Z</dcterms:created>
  <dcterms:modified xsi:type="dcterms:W3CDTF">2024-09-02T05:53:00Z</dcterms:modified>
</cp:coreProperties>
</file>